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E3E6" w14:textId="77777777" w:rsidR="00770C6A" w:rsidRPr="006617C9" w:rsidRDefault="00770C6A" w:rsidP="00B36A7F">
      <w:pPr>
        <w:spacing w:after="120" w:line="276" w:lineRule="auto"/>
        <w:ind w:firstLine="708"/>
        <w:jc w:val="center"/>
        <w:rPr>
          <w:rFonts w:ascii="Open Sans Light" w:hAnsi="Open Sans Light" w:cs="Open Sans Light"/>
          <w:i/>
          <w:sz w:val="24"/>
          <w:szCs w:val="24"/>
          <w:lang w:val="en-US"/>
        </w:rPr>
      </w:pPr>
      <w:bookmarkStart w:id="0" w:name="_GoBack"/>
      <w:bookmarkEnd w:id="0"/>
      <w:proofErr w:type="spellStart"/>
      <w:r w:rsidRPr="006617C9">
        <w:rPr>
          <w:rFonts w:ascii="Open Sans Light" w:hAnsi="Open Sans Light" w:cs="Open Sans Light"/>
          <w:sz w:val="24"/>
          <w:szCs w:val="24"/>
          <w:lang w:val="en-US"/>
        </w:rPr>
        <w:t>Wystąpienie</w:t>
      </w:r>
      <w:proofErr w:type="spellEnd"/>
      <w:r w:rsidRPr="006617C9">
        <w:rPr>
          <w:rFonts w:ascii="Open Sans Light" w:hAnsi="Open Sans Light" w:cs="Open Sans Light"/>
          <w:sz w:val="24"/>
          <w:szCs w:val="24"/>
          <w:lang w:val="en-US"/>
        </w:rPr>
        <w:t xml:space="preserve"> </w:t>
      </w:r>
      <w:proofErr w:type="spellStart"/>
      <w:r w:rsidRPr="006617C9">
        <w:rPr>
          <w:rFonts w:ascii="Open Sans Light" w:hAnsi="Open Sans Light" w:cs="Open Sans Light"/>
          <w:sz w:val="24"/>
          <w:szCs w:val="24"/>
          <w:lang w:val="en-US"/>
        </w:rPr>
        <w:t>na</w:t>
      </w:r>
      <w:proofErr w:type="spellEnd"/>
      <w:r w:rsidRPr="006617C9">
        <w:rPr>
          <w:rFonts w:ascii="Open Sans Light" w:hAnsi="Open Sans Light" w:cs="Open Sans Light"/>
          <w:sz w:val="24"/>
          <w:szCs w:val="24"/>
          <w:lang w:val="en-US"/>
        </w:rPr>
        <w:t xml:space="preserve"> </w:t>
      </w:r>
      <w:proofErr w:type="spellStart"/>
      <w:r w:rsidRPr="006617C9">
        <w:rPr>
          <w:rFonts w:ascii="Open Sans Light" w:hAnsi="Open Sans Light" w:cs="Open Sans Light"/>
          <w:sz w:val="24"/>
          <w:szCs w:val="24"/>
          <w:lang w:val="en-US"/>
        </w:rPr>
        <w:t>konferencję</w:t>
      </w:r>
      <w:proofErr w:type="spellEnd"/>
      <w:r w:rsidRPr="006617C9">
        <w:rPr>
          <w:rFonts w:ascii="Open Sans Light" w:hAnsi="Open Sans Light" w:cs="Open Sans Light"/>
          <w:sz w:val="24"/>
          <w:szCs w:val="24"/>
          <w:lang w:val="en-US"/>
        </w:rPr>
        <w:t xml:space="preserve"> </w:t>
      </w:r>
      <w:r w:rsidRPr="006617C9">
        <w:rPr>
          <w:rFonts w:ascii="Open Sans Light" w:hAnsi="Open Sans Light" w:cs="Open Sans Light"/>
          <w:i/>
          <w:sz w:val="24"/>
          <w:szCs w:val="24"/>
          <w:lang w:val="en-US"/>
        </w:rPr>
        <w:t xml:space="preserve">Bringing Justice Closer to European Citizens </w:t>
      </w:r>
    </w:p>
    <w:p w14:paraId="1ADDD296" w14:textId="77777777" w:rsidR="00770C6A" w:rsidRPr="00D57ABE" w:rsidRDefault="00770C6A" w:rsidP="00B36A7F">
      <w:pPr>
        <w:spacing w:after="120" w:line="276" w:lineRule="auto"/>
        <w:ind w:firstLine="708"/>
        <w:jc w:val="center"/>
        <w:rPr>
          <w:rFonts w:ascii="Open Sans Light" w:hAnsi="Open Sans Light" w:cs="Open Sans Light"/>
          <w:sz w:val="24"/>
          <w:szCs w:val="24"/>
        </w:rPr>
      </w:pPr>
      <w:r w:rsidRPr="00D57ABE">
        <w:rPr>
          <w:rFonts w:ascii="Open Sans Light" w:hAnsi="Open Sans Light" w:cs="Open Sans Light"/>
          <w:sz w:val="24"/>
          <w:szCs w:val="24"/>
        </w:rPr>
        <w:t>2</w:t>
      </w:r>
      <w:r>
        <w:rPr>
          <w:rFonts w:ascii="Open Sans Light" w:hAnsi="Open Sans Light" w:cs="Open Sans Light"/>
          <w:sz w:val="24"/>
          <w:szCs w:val="24"/>
        </w:rPr>
        <w:t>5</w:t>
      </w:r>
      <w:r w:rsidRPr="00D57ABE">
        <w:rPr>
          <w:rFonts w:ascii="Open Sans Light" w:hAnsi="Open Sans Light" w:cs="Open Sans Light"/>
          <w:sz w:val="24"/>
          <w:szCs w:val="24"/>
        </w:rPr>
        <w:t>-26 października 2019 r.</w:t>
      </w:r>
    </w:p>
    <w:p w14:paraId="4AE48AC6" w14:textId="77777777" w:rsidR="00770C6A" w:rsidRDefault="00770C6A" w:rsidP="00B36A7F">
      <w:pPr>
        <w:spacing w:after="120" w:line="276" w:lineRule="auto"/>
        <w:ind w:firstLine="708"/>
        <w:jc w:val="both"/>
        <w:rPr>
          <w:rFonts w:ascii="Open Sans Light" w:hAnsi="Open Sans Light" w:cs="Open Sans Light"/>
          <w:sz w:val="24"/>
          <w:szCs w:val="24"/>
        </w:rPr>
      </w:pPr>
    </w:p>
    <w:p w14:paraId="3CACB64E" w14:textId="77777777"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Szanowny Panie Dziekanie,</w:t>
      </w:r>
    </w:p>
    <w:p w14:paraId="48DAA926" w14:textId="77777777"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Szanowni Państwo,</w:t>
      </w:r>
    </w:p>
    <w:p w14:paraId="0797F658" w14:textId="77777777"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Pragnę wyrazić podziękowania za skierowane do Pierwszego Prezesa Sądu Najwyższego zaproszenie na dzisiejszą konferencją. Na wstępie chciałbym zwrócić uwagę na szczególne, symboliczne miejsce konferencji. Gdańsk jest miejscem narodzin Solidarności. Ruchu społecznego, który znacząco wpłynął na przemiany demokratyczne w wielu krajach tej części Europy. Uniwersytet Gdański jest zatem doskonałym miejscem do debaty nad tematem konferencji, jak uczynić zarówno wymiar sprawiedliwości dostępniejszym, jak i samą sprawiedliwość bliższą obywatelom Europy (</w:t>
      </w:r>
      <w:proofErr w:type="spellStart"/>
      <w:r w:rsidRPr="00D57ABE">
        <w:rPr>
          <w:rFonts w:ascii="Open Sans Light" w:hAnsi="Open Sans Light" w:cs="Open Sans Light"/>
          <w:i/>
          <w:sz w:val="24"/>
          <w:szCs w:val="24"/>
        </w:rPr>
        <w:t>Bringing</w:t>
      </w:r>
      <w:proofErr w:type="spellEnd"/>
      <w:r w:rsidRPr="00D57ABE">
        <w:rPr>
          <w:rFonts w:ascii="Open Sans Light" w:hAnsi="Open Sans Light" w:cs="Open Sans Light"/>
          <w:i/>
          <w:sz w:val="24"/>
          <w:szCs w:val="24"/>
        </w:rPr>
        <w:t xml:space="preserve"> </w:t>
      </w:r>
      <w:proofErr w:type="spellStart"/>
      <w:r w:rsidRPr="00D57ABE">
        <w:rPr>
          <w:rFonts w:ascii="Open Sans Light" w:hAnsi="Open Sans Light" w:cs="Open Sans Light"/>
          <w:i/>
          <w:sz w:val="24"/>
          <w:szCs w:val="24"/>
        </w:rPr>
        <w:t>Justice</w:t>
      </w:r>
      <w:proofErr w:type="spellEnd"/>
      <w:r w:rsidRPr="00D57ABE">
        <w:rPr>
          <w:rFonts w:ascii="Open Sans Light" w:hAnsi="Open Sans Light" w:cs="Open Sans Light"/>
          <w:i/>
          <w:sz w:val="24"/>
          <w:szCs w:val="24"/>
        </w:rPr>
        <w:t xml:space="preserve"> </w:t>
      </w:r>
      <w:proofErr w:type="spellStart"/>
      <w:r w:rsidRPr="00D57ABE">
        <w:rPr>
          <w:rFonts w:ascii="Open Sans Light" w:hAnsi="Open Sans Light" w:cs="Open Sans Light"/>
          <w:i/>
          <w:sz w:val="24"/>
          <w:szCs w:val="24"/>
        </w:rPr>
        <w:t>Closer</w:t>
      </w:r>
      <w:proofErr w:type="spellEnd"/>
      <w:r w:rsidRPr="00D57ABE">
        <w:rPr>
          <w:rFonts w:ascii="Open Sans Light" w:hAnsi="Open Sans Light" w:cs="Open Sans Light"/>
          <w:i/>
          <w:sz w:val="24"/>
          <w:szCs w:val="24"/>
        </w:rPr>
        <w:t xml:space="preserve"> to </w:t>
      </w:r>
      <w:proofErr w:type="spellStart"/>
      <w:r w:rsidRPr="00D57ABE">
        <w:rPr>
          <w:rFonts w:ascii="Open Sans Light" w:hAnsi="Open Sans Light" w:cs="Open Sans Light"/>
          <w:i/>
          <w:sz w:val="24"/>
          <w:szCs w:val="24"/>
        </w:rPr>
        <w:t>European</w:t>
      </w:r>
      <w:proofErr w:type="spellEnd"/>
      <w:r w:rsidRPr="00D57ABE">
        <w:rPr>
          <w:rFonts w:ascii="Open Sans Light" w:hAnsi="Open Sans Light" w:cs="Open Sans Light"/>
          <w:i/>
          <w:sz w:val="24"/>
          <w:szCs w:val="24"/>
        </w:rPr>
        <w:t xml:space="preserve"> </w:t>
      </w:r>
      <w:proofErr w:type="spellStart"/>
      <w:r w:rsidRPr="00D57ABE">
        <w:rPr>
          <w:rFonts w:ascii="Open Sans Light" w:hAnsi="Open Sans Light" w:cs="Open Sans Light"/>
          <w:i/>
          <w:sz w:val="24"/>
          <w:szCs w:val="24"/>
        </w:rPr>
        <w:t>Citizens</w:t>
      </w:r>
      <w:proofErr w:type="spellEnd"/>
      <w:r w:rsidRPr="00D57ABE">
        <w:rPr>
          <w:rFonts w:ascii="Open Sans Light" w:hAnsi="Open Sans Light" w:cs="Open Sans Light"/>
          <w:sz w:val="24"/>
          <w:szCs w:val="24"/>
        </w:rPr>
        <w:t>)</w:t>
      </w:r>
      <w:r>
        <w:rPr>
          <w:rFonts w:ascii="Open Sans Light" w:hAnsi="Open Sans Light" w:cs="Open Sans Light"/>
          <w:sz w:val="24"/>
          <w:szCs w:val="24"/>
        </w:rPr>
        <w:t>.</w:t>
      </w:r>
    </w:p>
    <w:p w14:paraId="6BD231C8" w14:textId="77777777"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 tym kontekście nie można pominąć kwestii wyzwań dla rządów prawa, które są fundamentem demokracji. W wielu krajach funkcjonowanie rządów prawa jest poważnie zagrożone. W Polsce zarówno doświadczenia historyczne, jak i obecna sytuacja, dowodzą, że efektywną ochronę praw obywateli mogą zapewnić jedynie niezależne sądy i niezawiśli sędziowie. W ostatnim okresie władze polityczne podejmują szereg działań zmierzających do podporządkowania wymiaru sprawiedliwości, co zagraża funkcjonowaniu demokratycznego państwa prawa. Niebezpieczeństwo to dostrzegają nie tylko prawnicy, ale też obywatele, którzy wielokrotnie występowali w obronie niezależności sądownictwa. Istnienie tego niebezpieczeństwa potwierdzają działania Komisji Europejskiej, która stwierdziła istnienie wyraźnego ryzyka poważnego naruszenia zasad praworządności w Polsce oraz orzeczenia wydane w ostatnim czasie przez Trybunał Sprawiedliwości Unii Europejskiej. Na 19 listopada 2019 r. wyznaczony jest termin posiedzenia przed Trybunałem w sprawie z pytań prejudycjalnych Sądu Najwyższego dotyczących gwarancji niezależności sądownictwa i niezawisłości sędziów w związku z tak zwaną „reformą” Krajowej Rady Sądownictwa oraz utworzeniem Izby Dyscyplinarnej w Sądzie Najwyższym. </w:t>
      </w:r>
    </w:p>
    <w:p w14:paraId="79CCBF1D"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Drugim, poza niezawisłością sędziów i niezależnością sądów, ważnym filarem </w:t>
      </w:r>
      <w:r w:rsidRPr="00D57ABE">
        <w:rPr>
          <w:rFonts w:ascii="Open Sans Light" w:hAnsi="Open Sans Light" w:cs="Open Sans Light"/>
          <w:sz w:val="24"/>
          <w:szCs w:val="24"/>
        </w:rPr>
        <w:t xml:space="preserve">demokratycznego państwa prawnego jest zapewnienie </w:t>
      </w:r>
      <w:r>
        <w:rPr>
          <w:rFonts w:ascii="Open Sans Light" w:hAnsi="Open Sans Light" w:cs="Open Sans Light"/>
          <w:sz w:val="24"/>
          <w:szCs w:val="24"/>
        </w:rPr>
        <w:t xml:space="preserve">obywatelom swobodnego </w:t>
      </w:r>
      <w:r w:rsidRPr="00D57ABE">
        <w:rPr>
          <w:rFonts w:ascii="Open Sans Light" w:hAnsi="Open Sans Light" w:cs="Open Sans Light"/>
          <w:sz w:val="24"/>
          <w:szCs w:val="24"/>
        </w:rPr>
        <w:t xml:space="preserve">dostępu do </w:t>
      </w:r>
      <w:r>
        <w:rPr>
          <w:rFonts w:ascii="Open Sans Light" w:hAnsi="Open Sans Light" w:cs="Open Sans Light"/>
          <w:sz w:val="24"/>
          <w:szCs w:val="24"/>
        </w:rPr>
        <w:t xml:space="preserve">niezawisłego </w:t>
      </w:r>
      <w:r w:rsidRPr="00D57ABE">
        <w:rPr>
          <w:rFonts w:ascii="Open Sans Light" w:hAnsi="Open Sans Light" w:cs="Open Sans Light"/>
          <w:sz w:val="24"/>
          <w:szCs w:val="24"/>
        </w:rPr>
        <w:t>sądu</w:t>
      </w:r>
      <w:r>
        <w:rPr>
          <w:rFonts w:ascii="Open Sans Light" w:hAnsi="Open Sans Light" w:cs="Open Sans Light"/>
          <w:sz w:val="24"/>
          <w:szCs w:val="24"/>
        </w:rPr>
        <w:t xml:space="preserve">. </w:t>
      </w:r>
      <w:r w:rsidRPr="00D57ABE">
        <w:rPr>
          <w:rFonts w:ascii="Open Sans Light" w:hAnsi="Open Sans Light" w:cs="Open Sans Light"/>
          <w:sz w:val="24"/>
          <w:szCs w:val="24"/>
        </w:rPr>
        <w:t>Rozumiane w ten sposób prawo do sądu znajduje wyraz zarówno w konstytucjach państw europejskich, jak i licznych aktach prawa międzynarodowego.</w:t>
      </w:r>
      <w:r>
        <w:rPr>
          <w:rFonts w:ascii="Open Sans Light" w:hAnsi="Open Sans Light" w:cs="Open Sans Light"/>
          <w:sz w:val="24"/>
          <w:szCs w:val="24"/>
        </w:rPr>
        <w:t xml:space="preserve"> A</w:t>
      </w:r>
      <w:r w:rsidRPr="00D57ABE">
        <w:rPr>
          <w:rFonts w:ascii="Open Sans Light" w:hAnsi="Open Sans Light" w:cs="Open Sans Light"/>
          <w:sz w:val="24"/>
          <w:szCs w:val="24"/>
        </w:rPr>
        <w:t xml:space="preserve">rt. 45 ust. 1 </w:t>
      </w:r>
      <w:r w:rsidRPr="00723911">
        <w:rPr>
          <w:rFonts w:ascii="Open Sans Light" w:hAnsi="Open Sans Light" w:cs="Open Sans Light"/>
          <w:sz w:val="24"/>
          <w:szCs w:val="24"/>
        </w:rPr>
        <w:t>Konstytucj</w:t>
      </w:r>
      <w:r>
        <w:rPr>
          <w:rFonts w:ascii="Open Sans Light" w:hAnsi="Open Sans Light" w:cs="Open Sans Light"/>
          <w:sz w:val="24"/>
          <w:szCs w:val="24"/>
        </w:rPr>
        <w:t>i</w:t>
      </w:r>
      <w:r w:rsidRPr="00723911">
        <w:rPr>
          <w:rFonts w:ascii="Open Sans Light" w:hAnsi="Open Sans Light" w:cs="Open Sans Light"/>
          <w:sz w:val="24"/>
          <w:szCs w:val="24"/>
        </w:rPr>
        <w:t xml:space="preserve"> Rzeczypospolitej Polskie</w:t>
      </w:r>
      <w:r>
        <w:rPr>
          <w:rFonts w:ascii="Open Sans Light" w:hAnsi="Open Sans Light" w:cs="Open Sans Light"/>
          <w:sz w:val="24"/>
          <w:szCs w:val="24"/>
        </w:rPr>
        <w:t>j</w:t>
      </w:r>
      <w:r w:rsidRPr="00723911">
        <w:rPr>
          <w:rFonts w:ascii="Open Sans Light" w:hAnsi="Open Sans Light" w:cs="Open Sans Light"/>
          <w:sz w:val="24"/>
          <w:szCs w:val="24"/>
        </w:rPr>
        <w:t xml:space="preserve"> </w:t>
      </w:r>
      <w:r w:rsidRPr="00D57ABE">
        <w:rPr>
          <w:rFonts w:ascii="Open Sans Light" w:hAnsi="Open Sans Light" w:cs="Open Sans Light"/>
          <w:sz w:val="24"/>
          <w:szCs w:val="24"/>
        </w:rPr>
        <w:t xml:space="preserve">stanowi, że każdy ma prawo do sprawiedliwego i jawnego rozpatrzenia sprawy bez nieuzasadnionej zwłoki przez właściwy, niezależny, bezstronny i niezawisły sąd. </w:t>
      </w:r>
      <w:r>
        <w:rPr>
          <w:rFonts w:ascii="Open Sans Light" w:hAnsi="Open Sans Light" w:cs="Open Sans Light"/>
          <w:sz w:val="24"/>
          <w:szCs w:val="24"/>
        </w:rPr>
        <w:t xml:space="preserve">Jego treść nawiązuje wyraźnie </w:t>
      </w:r>
      <w:r w:rsidRPr="00D57ABE">
        <w:rPr>
          <w:rFonts w:ascii="Open Sans Light" w:hAnsi="Open Sans Light" w:cs="Open Sans Light"/>
          <w:sz w:val="24"/>
          <w:szCs w:val="24"/>
        </w:rPr>
        <w:t>do art. 6 Europejskiej Konwencji Praw Człowieka</w:t>
      </w:r>
      <w:r>
        <w:rPr>
          <w:rFonts w:ascii="Open Sans Light" w:hAnsi="Open Sans Light" w:cs="Open Sans Light"/>
          <w:sz w:val="24"/>
          <w:szCs w:val="24"/>
        </w:rPr>
        <w:t xml:space="preserve">. </w:t>
      </w:r>
    </w:p>
    <w:p w14:paraId="3ECCA64F"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Sprawiedliwe rozpatrzenie sprawy wymaga realizacji w postępowaniu sądowym szeregu gwarancji bez których proces sądowy nie będzie rzetelny. Prawo do sądu jest bowiem zasadą systemu prawa, która służy realizacji sprawiedliwości. Zasada ta staje się swoim przeciwieństwem, gdy nie zabezpiecza przed bezprawiem w majestacie prawa, gdy nie daje gwarancji realizowania fundamentalnych wartości konstytucyjnych. </w:t>
      </w:r>
    </w:p>
    <w:p w14:paraId="4C14F865" w14:textId="77777777"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Konferencja poświęcona temu zagadnieniu odbywa się w dniu, w którym obchodzony jest Europejski Dzień Sprawiedliwości. Jest to również szczególny moment dla polskiego postępowania cywilnego. </w:t>
      </w:r>
      <w:r>
        <w:rPr>
          <w:rFonts w:ascii="Open Sans Light" w:hAnsi="Open Sans Light" w:cs="Open Sans Light"/>
          <w:sz w:val="24"/>
          <w:szCs w:val="24"/>
        </w:rPr>
        <w:t>Niedługo</w:t>
      </w:r>
      <w:r w:rsidRPr="00D57ABE">
        <w:rPr>
          <w:rFonts w:ascii="Open Sans Light" w:hAnsi="Open Sans Light" w:cs="Open Sans Light"/>
          <w:sz w:val="24"/>
          <w:szCs w:val="24"/>
        </w:rPr>
        <w:t xml:space="preserve">, 7 listopada wchodzą w życie uchwalone w </w:t>
      </w:r>
      <w:r>
        <w:rPr>
          <w:rFonts w:ascii="Open Sans Light" w:hAnsi="Open Sans Light" w:cs="Open Sans Light"/>
          <w:sz w:val="24"/>
          <w:szCs w:val="24"/>
        </w:rPr>
        <w:t>tym</w:t>
      </w:r>
      <w:r w:rsidRPr="00D57ABE">
        <w:rPr>
          <w:rFonts w:ascii="Open Sans Light" w:hAnsi="Open Sans Light" w:cs="Open Sans Light"/>
          <w:sz w:val="24"/>
          <w:szCs w:val="24"/>
        </w:rPr>
        <w:t xml:space="preserve"> roku zmiany w kodeksie postępowania cywilnego. Zastanawiając się nad tym jak uczynić sprawiedliwość bardziej dostępną </w:t>
      </w:r>
      <w:r>
        <w:rPr>
          <w:rFonts w:ascii="Open Sans Light" w:hAnsi="Open Sans Light" w:cs="Open Sans Light"/>
          <w:sz w:val="24"/>
          <w:szCs w:val="24"/>
        </w:rPr>
        <w:t xml:space="preserve">dla </w:t>
      </w:r>
      <w:r>
        <w:rPr>
          <w:rFonts w:ascii="Open Sans Light" w:hAnsi="Open Sans Light" w:cs="Open Sans Light"/>
          <w:sz w:val="24"/>
          <w:szCs w:val="24"/>
        </w:rPr>
        <w:lastRenderedPageBreak/>
        <w:t xml:space="preserve">obywateli </w:t>
      </w:r>
      <w:r w:rsidRPr="00D57ABE">
        <w:rPr>
          <w:rFonts w:ascii="Open Sans Light" w:hAnsi="Open Sans Light" w:cs="Open Sans Light"/>
          <w:sz w:val="24"/>
          <w:szCs w:val="24"/>
        </w:rPr>
        <w:t xml:space="preserve">nie można zatem </w:t>
      </w:r>
      <w:r>
        <w:rPr>
          <w:rFonts w:ascii="Open Sans Light" w:hAnsi="Open Sans Light" w:cs="Open Sans Light"/>
          <w:sz w:val="24"/>
          <w:szCs w:val="24"/>
        </w:rPr>
        <w:t xml:space="preserve">pominąć </w:t>
      </w:r>
      <w:r w:rsidRPr="00D57ABE">
        <w:rPr>
          <w:rFonts w:ascii="Open Sans Light" w:hAnsi="Open Sans Light" w:cs="Open Sans Light"/>
          <w:sz w:val="24"/>
          <w:szCs w:val="24"/>
        </w:rPr>
        <w:t xml:space="preserve">wprowadzanych aktualnie zmian w postępowaniu cywilnym, </w:t>
      </w:r>
      <w:r>
        <w:rPr>
          <w:rFonts w:ascii="Open Sans Light" w:hAnsi="Open Sans Light" w:cs="Open Sans Light"/>
          <w:sz w:val="24"/>
          <w:szCs w:val="24"/>
        </w:rPr>
        <w:t xml:space="preserve">tym bardziej, że niektóre z nich budzą poważne zastrzeżenia w kontekście zgodności z konstytucją i zasadami rzetelnego procesu.  </w:t>
      </w:r>
    </w:p>
    <w:p w14:paraId="5B8A1068" w14:textId="77777777"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Wprowadzone zmiany poszerzają na przykład możliwość wydawania wyroków na posiedzeniu niejawnym, a więc bez udziału stron, co narusza zasadę jawności postępowania. Także prawo do wysłuchania ulega ograniczeniu. W szerokim zakresie nastąpiło odejście od zażalenia jako </w:t>
      </w:r>
      <w:proofErr w:type="spellStart"/>
      <w:r>
        <w:rPr>
          <w:rFonts w:ascii="Open Sans Light" w:hAnsi="Open Sans Light" w:cs="Open Sans Light"/>
          <w:sz w:val="24"/>
          <w:szCs w:val="24"/>
        </w:rPr>
        <w:t>dewolutywnego</w:t>
      </w:r>
      <w:proofErr w:type="spellEnd"/>
      <w:r>
        <w:rPr>
          <w:rFonts w:ascii="Open Sans Light" w:hAnsi="Open Sans Light" w:cs="Open Sans Light"/>
          <w:sz w:val="24"/>
          <w:szCs w:val="24"/>
        </w:rPr>
        <w:t xml:space="preserve"> środka zaskarżenia na rzecz tzw. zażaleń poziomych, co osłabia prawo do poddania orzeczenia efektywnej kontroli. W uzasadnieniu rządowego projektu nowelizacji w istocie nie zwraca się uwagi na rolę gwarancji sprawiedliwości proceduralnej. </w:t>
      </w:r>
    </w:p>
    <w:p w14:paraId="5AA45E31"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 uwagi na ramy czasowe przewidziane dla wystąpień w tej części konferencji, chciałbym zwrócić uwagę n</w:t>
      </w:r>
      <w:r w:rsidRPr="00D57ABE">
        <w:rPr>
          <w:rFonts w:ascii="Open Sans Light" w:hAnsi="Open Sans Light" w:cs="Open Sans Light"/>
          <w:sz w:val="24"/>
          <w:szCs w:val="24"/>
        </w:rPr>
        <w:t xml:space="preserve">a dwie spośród </w:t>
      </w:r>
      <w:r>
        <w:rPr>
          <w:rFonts w:ascii="Open Sans Light" w:hAnsi="Open Sans Light" w:cs="Open Sans Light"/>
          <w:sz w:val="24"/>
          <w:szCs w:val="24"/>
        </w:rPr>
        <w:t>wprowadzonych zmian</w:t>
      </w:r>
      <w:r w:rsidRPr="00D57ABE">
        <w:rPr>
          <w:rFonts w:ascii="Open Sans Light" w:hAnsi="Open Sans Light" w:cs="Open Sans Light"/>
          <w:sz w:val="24"/>
          <w:szCs w:val="24"/>
        </w:rPr>
        <w:t xml:space="preserve">, </w:t>
      </w:r>
      <w:r>
        <w:rPr>
          <w:rFonts w:ascii="Open Sans Light" w:hAnsi="Open Sans Light" w:cs="Open Sans Light"/>
          <w:sz w:val="24"/>
          <w:szCs w:val="24"/>
        </w:rPr>
        <w:t>które godzą w</w:t>
      </w:r>
      <w:r w:rsidRPr="00D57ABE">
        <w:rPr>
          <w:rFonts w:ascii="Open Sans Light" w:hAnsi="Open Sans Light" w:cs="Open Sans Light"/>
          <w:sz w:val="24"/>
          <w:szCs w:val="24"/>
        </w:rPr>
        <w:t xml:space="preserve"> gwarancje kluczowe dla budowy zaufania obywateli do wymiaru sprawiedliwości. Pierwsza z nich dotyka prawa do rozpoznania sprawy przez bezstronny sąd, a druga </w:t>
      </w:r>
      <w:r>
        <w:rPr>
          <w:rFonts w:ascii="Open Sans Light" w:hAnsi="Open Sans Light" w:cs="Open Sans Light"/>
          <w:sz w:val="24"/>
          <w:szCs w:val="24"/>
        </w:rPr>
        <w:t xml:space="preserve">prawa do rzetelnego procesu i </w:t>
      </w:r>
      <w:r w:rsidRPr="00D57ABE">
        <w:rPr>
          <w:rFonts w:ascii="Open Sans Light" w:hAnsi="Open Sans Light" w:cs="Open Sans Light"/>
          <w:sz w:val="24"/>
          <w:szCs w:val="24"/>
        </w:rPr>
        <w:t>możliwości poddania rozstrzygnięcia sądowego efektywnej kontroli.</w:t>
      </w:r>
    </w:p>
    <w:p w14:paraId="6EBE53AB"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Znowelizowany</w:t>
      </w:r>
      <w:r w:rsidRPr="00D57ABE">
        <w:rPr>
          <w:rFonts w:ascii="Open Sans Light" w:hAnsi="Open Sans Light" w:cs="Open Sans Light"/>
          <w:sz w:val="24"/>
          <w:szCs w:val="24"/>
        </w:rPr>
        <w:t xml:space="preserve"> art. 386 § 5 k.p.c. </w:t>
      </w:r>
      <w:r>
        <w:rPr>
          <w:rFonts w:ascii="Open Sans Light" w:hAnsi="Open Sans Light" w:cs="Open Sans Light"/>
          <w:sz w:val="24"/>
          <w:szCs w:val="24"/>
        </w:rPr>
        <w:t>stanowi, że</w:t>
      </w:r>
      <w:r w:rsidRPr="00D57ABE">
        <w:rPr>
          <w:rFonts w:ascii="Open Sans Light" w:hAnsi="Open Sans Light" w:cs="Open Sans Light"/>
          <w:sz w:val="24"/>
          <w:szCs w:val="24"/>
        </w:rPr>
        <w:t>: „</w:t>
      </w:r>
      <w:r w:rsidRPr="00D57ABE">
        <w:rPr>
          <w:rFonts w:ascii="Open Sans Light" w:hAnsi="Open Sans Light" w:cs="Open Sans Light"/>
          <w:i/>
          <w:sz w:val="24"/>
          <w:szCs w:val="24"/>
        </w:rPr>
        <w:t>W przypadku uchylenia wyroku i przekazania sprawy do ponownego rozpoznania sąd rozpoznaje ją w tym samym składzie, chyba że nie jest to możliwe lub powodowałoby nadmierną zwłokę w postępowaniu</w:t>
      </w:r>
      <w:r w:rsidRPr="00D57ABE">
        <w:rPr>
          <w:rFonts w:ascii="Open Sans Light" w:hAnsi="Open Sans Light" w:cs="Open Sans Light"/>
          <w:sz w:val="24"/>
          <w:szCs w:val="24"/>
        </w:rPr>
        <w:t xml:space="preserve">”. Oznacza to, że sędzia, który wydał wyrok </w:t>
      </w:r>
      <w:r>
        <w:rPr>
          <w:rFonts w:ascii="Open Sans Light" w:hAnsi="Open Sans Light" w:cs="Open Sans Light"/>
          <w:sz w:val="24"/>
          <w:szCs w:val="24"/>
        </w:rPr>
        <w:t xml:space="preserve">uchylony przez </w:t>
      </w:r>
      <w:r w:rsidRPr="00D57ABE">
        <w:rPr>
          <w:rFonts w:ascii="Open Sans Light" w:hAnsi="Open Sans Light" w:cs="Open Sans Light"/>
          <w:sz w:val="24"/>
          <w:szCs w:val="24"/>
        </w:rPr>
        <w:t xml:space="preserve">sąd drugiej instancji, będzie zmuszony w tej samej sprawie orzekać ponownie. Ustawodawca odstępuje w ten sposób od </w:t>
      </w:r>
      <w:r>
        <w:rPr>
          <w:rFonts w:ascii="Open Sans Light" w:hAnsi="Open Sans Light" w:cs="Open Sans Light"/>
          <w:sz w:val="24"/>
          <w:szCs w:val="24"/>
        </w:rPr>
        <w:t xml:space="preserve">obowiązującego dotychczas </w:t>
      </w:r>
      <w:r w:rsidRPr="00D57ABE">
        <w:rPr>
          <w:rFonts w:ascii="Open Sans Light" w:hAnsi="Open Sans Light" w:cs="Open Sans Light"/>
          <w:sz w:val="24"/>
          <w:szCs w:val="24"/>
        </w:rPr>
        <w:t xml:space="preserve">zakazu rozpoznawania sprawy przez sędziego, który wydał uchylone orzeczenie. </w:t>
      </w:r>
      <w:r>
        <w:rPr>
          <w:rFonts w:ascii="Open Sans Light" w:hAnsi="Open Sans Light" w:cs="Open Sans Light"/>
          <w:sz w:val="24"/>
          <w:szCs w:val="24"/>
        </w:rPr>
        <w:t>W judykaturze przyjmowano, że jest to ustawowa podstawa wyłączenia sędziego.</w:t>
      </w:r>
    </w:p>
    <w:p w14:paraId="169CA71B" w14:textId="77777777"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Niepokojąco brzmi </w:t>
      </w:r>
      <w:r>
        <w:rPr>
          <w:rFonts w:ascii="Open Sans Light" w:hAnsi="Open Sans Light" w:cs="Open Sans Light"/>
          <w:sz w:val="24"/>
          <w:szCs w:val="24"/>
        </w:rPr>
        <w:t xml:space="preserve">argumentacja dla dokonania tej zmiany zawarta w </w:t>
      </w:r>
      <w:r w:rsidRPr="00D57ABE">
        <w:rPr>
          <w:rFonts w:ascii="Open Sans Light" w:hAnsi="Open Sans Light" w:cs="Open Sans Light"/>
          <w:sz w:val="24"/>
          <w:szCs w:val="24"/>
        </w:rPr>
        <w:t>uzasadnieniu rządowego projektu ustawy</w:t>
      </w:r>
      <w:r>
        <w:rPr>
          <w:rFonts w:ascii="Open Sans Light" w:hAnsi="Open Sans Light" w:cs="Open Sans Light"/>
          <w:sz w:val="24"/>
          <w:szCs w:val="24"/>
        </w:rPr>
        <w:t xml:space="preserve">, w którym stwierdzono, że </w:t>
      </w:r>
      <w:r w:rsidRPr="00D57ABE">
        <w:rPr>
          <w:rFonts w:ascii="Open Sans Light" w:hAnsi="Open Sans Light" w:cs="Open Sans Light"/>
          <w:sz w:val="24"/>
          <w:szCs w:val="24"/>
        </w:rPr>
        <w:t xml:space="preserve">„w takim układzie skutki swoich błędów w postaci dodatkowego nakładu pracy poniesie ten sędzia, który je popełnił”. </w:t>
      </w:r>
      <w:r>
        <w:rPr>
          <w:rFonts w:ascii="Open Sans Light" w:hAnsi="Open Sans Light" w:cs="Open Sans Light"/>
          <w:sz w:val="24"/>
          <w:szCs w:val="24"/>
        </w:rPr>
        <w:t xml:space="preserve">W ocenie projektodawcy </w:t>
      </w:r>
      <w:r w:rsidRPr="00D57ABE">
        <w:rPr>
          <w:rFonts w:ascii="Open Sans Light" w:hAnsi="Open Sans Light" w:cs="Open Sans Light"/>
          <w:sz w:val="24"/>
          <w:szCs w:val="24"/>
        </w:rPr>
        <w:t>rozwiązanie to „po pierwsze należy uznać za sprawiedliwe, a po drugie będzie motywacją do starannego prowadzenia postępowania”.</w:t>
      </w:r>
      <w:r>
        <w:rPr>
          <w:rFonts w:ascii="Open Sans Light" w:hAnsi="Open Sans Light" w:cs="Open Sans Light"/>
          <w:sz w:val="24"/>
          <w:szCs w:val="24"/>
        </w:rPr>
        <w:t xml:space="preserve"> Wskazuje to, </w:t>
      </w:r>
      <w:r w:rsidRPr="00D57ABE">
        <w:rPr>
          <w:rFonts w:ascii="Open Sans Light" w:hAnsi="Open Sans Light" w:cs="Open Sans Light"/>
          <w:sz w:val="24"/>
          <w:szCs w:val="24"/>
        </w:rPr>
        <w:t xml:space="preserve">że autorzy projektu ponowne rozpoznanie sprawy przez tego samego sędziego traktują jako swoistą karę za wydanie orzeczenia, które zostało uchylone. „Kara” ta w ocenie projektodawców ma być na tyle dotkliwa, że będzie oddziaływać prewencyjnie na pozostałych sędziów, którzy – jak można zakładać – w obawie przed nią przestaną popełniać błędy. </w:t>
      </w:r>
    </w:p>
    <w:p w14:paraId="12C38483"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Przekonanie, że sędziów należy </w:t>
      </w:r>
      <w:r>
        <w:rPr>
          <w:rFonts w:ascii="Open Sans Light" w:hAnsi="Open Sans Light" w:cs="Open Sans Light"/>
          <w:sz w:val="24"/>
          <w:szCs w:val="24"/>
        </w:rPr>
        <w:t>„</w:t>
      </w:r>
      <w:r w:rsidRPr="00D57ABE">
        <w:rPr>
          <w:rFonts w:ascii="Open Sans Light" w:hAnsi="Open Sans Light" w:cs="Open Sans Light"/>
          <w:sz w:val="24"/>
          <w:szCs w:val="24"/>
        </w:rPr>
        <w:t>nadzorować i karać</w:t>
      </w:r>
      <w:r>
        <w:rPr>
          <w:rFonts w:ascii="Open Sans Light" w:hAnsi="Open Sans Light" w:cs="Open Sans Light"/>
          <w:sz w:val="24"/>
          <w:szCs w:val="24"/>
        </w:rPr>
        <w:t>”</w:t>
      </w:r>
      <w:r w:rsidRPr="00D57ABE">
        <w:rPr>
          <w:rFonts w:ascii="Open Sans Light" w:hAnsi="Open Sans Light" w:cs="Open Sans Light"/>
          <w:sz w:val="24"/>
          <w:szCs w:val="24"/>
        </w:rPr>
        <w:t xml:space="preserve">, widoczne jest w szeregu inicjatyw ustawodawczych podejmowanych w ostatnich latach. </w:t>
      </w:r>
      <w:r>
        <w:rPr>
          <w:rFonts w:ascii="Open Sans Light" w:hAnsi="Open Sans Light" w:cs="Open Sans Light"/>
          <w:sz w:val="24"/>
          <w:szCs w:val="24"/>
        </w:rPr>
        <w:t>To p</w:t>
      </w:r>
      <w:r w:rsidRPr="00D57ABE">
        <w:rPr>
          <w:rFonts w:ascii="Open Sans Light" w:hAnsi="Open Sans Light" w:cs="Open Sans Light"/>
          <w:sz w:val="24"/>
          <w:szCs w:val="24"/>
        </w:rPr>
        <w:t xml:space="preserve">odejście zostało obecnie przeniesione do postępowania cywilnego. Ustawodawca tworzy bowiem szczególne przepisy procesowe w celu wyciągnięcia wobec sędziego konsekwencji pod pozorem zmotywowania go do rzetelnego rozpoznania sprawy. </w:t>
      </w:r>
      <w:r>
        <w:rPr>
          <w:rFonts w:ascii="Open Sans Light" w:hAnsi="Open Sans Light" w:cs="Open Sans Light"/>
          <w:sz w:val="24"/>
          <w:szCs w:val="24"/>
        </w:rPr>
        <w:t xml:space="preserve">Tymczasem potrzeba ponownego rozpoznania sprawy </w:t>
      </w:r>
      <w:r w:rsidRPr="00D57ABE">
        <w:rPr>
          <w:rFonts w:ascii="Open Sans Light" w:hAnsi="Open Sans Light" w:cs="Open Sans Light"/>
          <w:sz w:val="24"/>
          <w:szCs w:val="24"/>
        </w:rPr>
        <w:t xml:space="preserve">nie zawsze jest wynikiem wadliwego rozpoznawania sprawy przez sąd niższej instancji. Nierzadko bowiem strony dopiero w apelacji </w:t>
      </w:r>
      <w:r>
        <w:rPr>
          <w:rFonts w:ascii="Open Sans Light" w:hAnsi="Open Sans Light" w:cs="Open Sans Light"/>
          <w:sz w:val="24"/>
          <w:szCs w:val="24"/>
        </w:rPr>
        <w:t xml:space="preserve">podnoszą zarzuty i wskazują </w:t>
      </w:r>
      <w:r w:rsidRPr="00D57ABE">
        <w:rPr>
          <w:rFonts w:ascii="Open Sans Light" w:hAnsi="Open Sans Light" w:cs="Open Sans Light"/>
          <w:sz w:val="24"/>
          <w:szCs w:val="24"/>
        </w:rPr>
        <w:t xml:space="preserve">dowody, których z różnych przyczyn nie prezentowały przed sądem </w:t>
      </w:r>
      <w:r>
        <w:rPr>
          <w:rFonts w:ascii="Open Sans Light" w:hAnsi="Open Sans Light" w:cs="Open Sans Light"/>
          <w:sz w:val="24"/>
          <w:szCs w:val="24"/>
        </w:rPr>
        <w:t>pierwszej</w:t>
      </w:r>
      <w:r w:rsidRPr="00D57ABE">
        <w:rPr>
          <w:rFonts w:ascii="Open Sans Light" w:hAnsi="Open Sans Light" w:cs="Open Sans Light"/>
          <w:sz w:val="24"/>
          <w:szCs w:val="24"/>
        </w:rPr>
        <w:t xml:space="preserve"> instancji. Może to być wynik </w:t>
      </w:r>
      <w:r>
        <w:rPr>
          <w:rFonts w:ascii="Open Sans Light" w:hAnsi="Open Sans Light" w:cs="Open Sans Light"/>
          <w:sz w:val="24"/>
          <w:szCs w:val="24"/>
        </w:rPr>
        <w:t xml:space="preserve">zarówno </w:t>
      </w:r>
      <w:r w:rsidRPr="00D57ABE">
        <w:rPr>
          <w:rFonts w:ascii="Open Sans Light" w:hAnsi="Open Sans Light" w:cs="Open Sans Light"/>
          <w:sz w:val="24"/>
          <w:szCs w:val="24"/>
        </w:rPr>
        <w:t xml:space="preserve">taktyki procesowej, </w:t>
      </w:r>
      <w:r>
        <w:rPr>
          <w:rFonts w:ascii="Open Sans Light" w:hAnsi="Open Sans Light" w:cs="Open Sans Light"/>
          <w:sz w:val="24"/>
          <w:szCs w:val="24"/>
        </w:rPr>
        <w:t xml:space="preserve">jak i </w:t>
      </w:r>
      <w:r w:rsidRPr="00D57ABE">
        <w:rPr>
          <w:rFonts w:ascii="Open Sans Light" w:hAnsi="Open Sans Light" w:cs="Open Sans Light"/>
          <w:sz w:val="24"/>
          <w:szCs w:val="24"/>
        </w:rPr>
        <w:t xml:space="preserve">niewystarczającej znajomości prawa. </w:t>
      </w:r>
    </w:p>
    <w:p w14:paraId="71BF56ED" w14:textId="77777777"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w:t>
      </w:r>
      <w:r w:rsidRPr="00D57ABE">
        <w:rPr>
          <w:rFonts w:ascii="Open Sans Light" w:hAnsi="Open Sans Light" w:cs="Open Sans Light"/>
          <w:sz w:val="24"/>
          <w:szCs w:val="24"/>
        </w:rPr>
        <w:t xml:space="preserve">akaz rozpoznania sprawy </w:t>
      </w:r>
      <w:r>
        <w:rPr>
          <w:rFonts w:ascii="Open Sans Light" w:hAnsi="Open Sans Light" w:cs="Open Sans Light"/>
          <w:sz w:val="24"/>
          <w:szCs w:val="24"/>
        </w:rPr>
        <w:t xml:space="preserve">przez tego samego sędziego po </w:t>
      </w:r>
      <w:r w:rsidRPr="00D57ABE">
        <w:rPr>
          <w:rFonts w:ascii="Open Sans Light" w:hAnsi="Open Sans Light" w:cs="Open Sans Light"/>
          <w:sz w:val="24"/>
          <w:szCs w:val="24"/>
        </w:rPr>
        <w:t xml:space="preserve">uchyleniu </w:t>
      </w:r>
      <w:r>
        <w:rPr>
          <w:rFonts w:ascii="Open Sans Light" w:hAnsi="Open Sans Light" w:cs="Open Sans Light"/>
          <w:sz w:val="24"/>
          <w:szCs w:val="24"/>
        </w:rPr>
        <w:t>wyroku m</w:t>
      </w:r>
      <w:r w:rsidRPr="00D57ABE">
        <w:rPr>
          <w:rFonts w:ascii="Open Sans Light" w:hAnsi="Open Sans Light" w:cs="Open Sans Light"/>
          <w:sz w:val="24"/>
          <w:szCs w:val="24"/>
        </w:rPr>
        <w:t xml:space="preserve">iał na celu pogłębienie niezawisłości sędziowskiej. </w:t>
      </w:r>
      <w:r>
        <w:rPr>
          <w:rFonts w:ascii="Open Sans Light" w:hAnsi="Open Sans Light" w:cs="Open Sans Light"/>
          <w:sz w:val="24"/>
          <w:szCs w:val="24"/>
        </w:rPr>
        <w:t>Z</w:t>
      </w:r>
      <w:r w:rsidRPr="00D57ABE">
        <w:rPr>
          <w:rFonts w:ascii="Open Sans Light" w:hAnsi="Open Sans Light" w:cs="Open Sans Light"/>
          <w:sz w:val="24"/>
          <w:szCs w:val="24"/>
        </w:rPr>
        <w:t xml:space="preserve">miana składu orzekającego przy ponownym rozpoznaniu sprawy zwalnia bowiem sędziego od psychologicznie trudnej zmiany stanowiska lub poprawienia swego błędu. Wprowadzana obecnie regulacja prowadzi do sytuacji, w której sąd pierwszej instancji będzie musiał wydać wyrok niezgodnie z </w:t>
      </w:r>
      <w:r>
        <w:rPr>
          <w:rFonts w:ascii="Open Sans Light" w:hAnsi="Open Sans Light" w:cs="Open Sans Light"/>
          <w:sz w:val="24"/>
          <w:szCs w:val="24"/>
        </w:rPr>
        <w:t>wyrażonym wcześniej</w:t>
      </w:r>
      <w:r w:rsidRPr="00D57ABE">
        <w:rPr>
          <w:rFonts w:ascii="Open Sans Light" w:hAnsi="Open Sans Light" w:cs="Open Sans Light"/>
          <w:sz w:val="24"/>
          <w:szCs w:val="24"/>
        </w:rPr>
        <w:t xml:space="preserve"> przekonaniem, niejednokrotnie popartym </w:t>
      </w:r>
      <w:r w:rsidRPr="00D57ABE">
        <w:rPr>
          <w:rFonts w:ascii="Open Sans Light" w:hAnsi="Open Sans Light" w:cs="Open Sans Light"/>
          <w:sz w:val="24"/>
          <w:szCs w:val="24"/>
        </w:rPr>
        <w:lastRenderedPageBreak/>
        <w:t>dogłębną znajomością przebiegu rozprawy w pierwszej instancji, oceną zachowania świadków i oceną prawną ustalonego przez siebie stanu faktycznego sprawy. Nowe rozwiązanie osłabia w ten sposób gwarancje niezawisłości sędziowskiej.</w:t>
      </w:r>
    </w:p>
    <w:p w14:paraId="5476AAEC" w14:textId="77777777" w:rsidR="00770C6A" w:rsidRPr="00D57ABE" w:rsidRDefault="00770C6A" w:rsidP="00062773">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Zniesiony zakaz rozpoznania sprawy </w:t>
      </w:r>
      <w:r>
        <w:rPr>
          <w:rFonts w:ascii="Open Sans Light" w:hAnsi="Open Sans Light" w:cs="Open Sans Light"/>
          <w:sz w:val="24"/>
          <w:szCs w:val="24"/>
        </w:rPr>
        <w:t>w tym samym składzie miał ponadto</w:t>
      </w:r>
      <w:r w:rsidRPr="00D57ABE">
        <w:rPr>
          <w:rFonts w:ascii="Open Sans Light" w:hAnsi="Open Sans Light" w:cs="Open Sans Light"/>
          <w:sz w:val="24"/>
          <w:szCs w:val="24"/>
        </w:rPr>
        <w:t xml:space="preserve"> na celu </w:t>
      </w:r>
      <w:r>
        <w:rPr>
          <w:rFonts w:ascii="Open Sans Light" w:hAnsi="Open Sans Light" w:cs="Open Sans Light"/>
          <w:sz w:val="24"/>
          <w:szCs w:val="24"/>
        </w:rPr>
        <w:t xml:space="preserve">między innymi </w:t>
      </w:r>
      <w:r w:rsidRPr="00D57ABE">
        <w:rPr>
          <w:rFonts w:ascii="Open Sans Light" w:hAnsi="Open Sans Light" w:cs="Open Sans Light"/>
          <w:sz w:val="24"/>
          <w:szCs w:val="24"/>
        </w:rPr>
        <w:t xml:space="preserve">wzmocnienie zaufania stron do sądu. </w:t>
      </w:r>
      <w:r>
        <w:rPr>
          <w:rFonts w:ascii="Open Sans Light" w:hAnsi="Open Sans Light" w:cs="Open Sans Light"/>
          <w:sz w:val="24"/>
          <w:szCs w:val="24"/>
        </w:rPr>
        <w:t>S</w:t>
      </w:r>
      <w:r w:rsidRPr="00D57ABE">
        <w:rPr>
          <w:rFonts w:ascii="Open Sans Light" w:hAnsi="Open Sans Light" w:cs="Open Sans Light"/>
          <w:sz w:val="24"/>
          <w:szCs w:val="24"/>
        </w:rPr>
        <w:t xml:space="preserve">trona, która w wyniku </w:t>
      </w:r>
      <w:r>
        <w:rPr>
          <w:rFonts w:ascii="Open Sans Light" w:hAnsi="Open Sans Light" w:cs="Open Sans Light"/>
          <w:sz w:val="24"/>
          <w:szCs w:val="24"/>
        </w:rPr>
        <w:t>własnej apelacji</w:t>
      </w:r>
      <w:r w:rsidRPr="00D57ABE">
        <w:rPr>
          <w:rFonts w:ascii="Open Sans Light" w:hAnsi="Open Sans Light" w:cs="Open Sans Light"/>
          <w:sz w:val="24"/>
          <w:szCs w:val="24"/>
        </w:rPr>
        <w:t xml:space="preserve"> doprowadziła do uchylenia orzeczenia, może obawiać się stronniczego traktowania przez sędziego, którego pracę krytycznie oceniła w apelacji</w:t>
      </w:r>
      <w:r>
        <w:rPr>
          <w:rFonts w:ascii="Open Sans Light" w:hAnsi="Open Sans Light" w:cs="Open Sans Light"/>
          <w:sz w:val="24"/>
          <w:szCs w:val="24"/>
        </w:rPr>
        <w:t xml:space="preserve"> i n</w:t>
      </w:r>
      <w:r w:rsidRPr="00D57ABE">
        <w:rPr>
          <w:rFonts w:ascii="Open Sans Light" w:hAnsi="Open Sans Light" w:cs="Open Sans Light"/>
          <w:sz w:val="24"/>
          <w:szCs w:val="24"/>
        </w:rPr>
        <w:t xml:space="preserve">awet będąc </w:t>
      </w:r>
      <w:r>
        <w:rPr>
          <w:rFonts w:ascii="Open Sans Light" w:hAnsi="Open Sans Light" w:cs="Open Sans Light"/>
          <w:sz w:val="24"/>
          <w:szCs w:val="24"/>
        </w:rPr>
        <w:t xml:space="preserve">obiektywnie </w:t>
      </w:r>
      <w:r w:rsidRPr="00D57ABE">
        <w:rPr>
          <w:rFonts w:ascii="Open Sans Light" w:hAnsi="Open Sans Light" w:cs="Open Sans Light"/>
          <w:sz w:val="24"/>
          <w:szCs w:val="24"/>
        </w:rPr>
        <w:t xml:space="preserve">przekonanym, że zagrożenie stronniczego traktowania jest niewielkie, trzeba pamiętać, że zaufanie stron do wymiaru sprawiedliwości wymaga, aby postępowanie było przez same strony odbierane jako prowadzone w sposób bezstronny. Wydaje się więc, że wyrażone przez autorów projektu założenie o potrzebie karania sędziów za popełnione błędy wygrało z dążeniem do wzmocnienia u </w:t>
      </w:r>
      <w:r>
        <w:rPr>
          <w:rFonts w:ascii="Open Sans Light" w:hAnsi="Open Sans Light" w:cs="Open Sans Light"/>
          <w:sz w:val="24"/>
          <w:szCs w:val="24"/>
        </w:rPr>
        <w:t xml:space="preserve">stron postępowania </w:t>
      </w:r>
      <w:r w:rsidRPr="00D57ABE">
        <w:rPr>
          <w:rFonts w:ascii="Open Sans Light" w:hAnsi="Open Sans Light" w:cs="Open Sans Light"/>
          <w:sz w:val="24"/>
          <w:szCs w:val="24"/>
        </w:rPr>
        <w:t>przekonania o bezstronności sądu</w:t>
      </w:r>
      <w:r>
        <w:rPr>
          <w:rFonts w:ascii="Open Sans Light" w:hAnsi="Open Sans Light" w:cs="Open Sans Light"/>
          <w:sz w:val="24"/>
          <w:szCs w:val="24"/>
        </w:rPr>
        <w:t xml:space="preserve">, co stanowi fundament niezawisłości sędziowskiej. </w:t>
      </w:r>
    </w:p>
    <w:p w14:paraId="6787FE11" w14:textId="77777777" w:rsidR="00770C6A" w:rsidRDefault="00770C6A" w:rsidP="00F33738">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Jednym z głównych założeń nowelizacji była potrzeba wprowadzenia przepisów przeciwdziałających nadużywaniu uprawnień procesowych przez uczestników postępowań sądowych. W istocie </w:t>
      </w:r>
      <w:r>
        <w:rPr>
          <w:rFonts w:ascii="Open Sans Light" w:hAnsi="Open Sans Light" w:cs="Open Sans Light"/>
          <w:i/>
          <w:sz w:val="24"/>
          <w:szCs w:val="24"/>
        </w:rPr>
        <w:t xml:space="preserve">novum </w:t>
      </w:r>
      <w:r>
        <w:rPr>
          <w:rFonts w:ascii="Open Sans Light" w:hAnsi="Open Sans Light" w:cs="Open Sans Light"/>
          <w:sz w:val="24"/>
          <w:szCs w:val="24"/>
        </w:rPr>
        <w:t xml:space="preserve">stanowi jedynie podejście do sposobu rozwiązania tego problemu. Wcześniej takie instrumenty stopniowo wypracowywano w judykaturze. </w:t>
      </w:r>
      <w:r w:rsidRPr="00D57ABE">
        <w:rPr>
          <w:rFonts w:ascii="Open Sans Light" w:hAnsi="Open Sans Light" w:cs="Open Sans Light"/>
          <w:sz w:val="24"/>
          <w:szCs w:val="24"/>
        </w:rPr>
        <w:t>Punkt odniesienia stanowił art. 3 k.p.c. zgodnie z którym strony i uczestnicy postępowania obowiązani są dokonywać czynności procesowych zgodnie z dobrymi obyczajami</w:t>
      </w:r>
      <w:r>
        <w:rPr>
          <w:rFonts w:ascii="Open Sans Light" w:hAnsi="Open Sans Light" w:cs="Open Sans Light"/>
          <w:sz w:val="24"/>
          <w:szCs w:val="24"/>
        </w:rPr>
        <w:t xml:space="preserve">. </w:t>
      </w:r>
      <w:r w:rsidRPr="00D57ABE">
        <w:rPr>
          <w:rFonts w:ascii="Open Sans Light" w:hAnsi="Open Sans Light" w:cs="Open Sans Light"/>
          <w:sz w:val="24"/>
          <w:szCs w:val="24"/>
        </w:rPr>
        <w:t xml:space="preserve">Nakaz dokonywania czynności procesowych zgodnie z dobrymi obyczajami stanowił podstawę do przyjęcia koncepcji </w:t>
      </w:r>
      <w:r>
        <w:rPr>
          <w:rFonts w:ascii="Open Sans Light" w:hAnsi="Open Sans Light" w:cs="Open Sans Light"/>
          <w:sz w:val="24"/>
          <w:szCs w:val="24"/>
        </w:rPr>
        <w:t xml:space="preserve">zakazu </w:t>
      </w:r>
      <w:r w:rsidRPr="00D57ABE">
        <w:rPr>
          <w:rFonts w:ascii="Open Sans Light" w:hAnsi="Open Sans Light" w:cs="Open Sans Light"/>
          <w:sz w:val="24"/>
          <w:szCs w:val="24"/>
        </w:rPr>
        <w:t>naduży</w:t>
      </w:r>
      <w:r>
        <w:rPr>
          <w:rFonts w:ascii="Open Sans Light" w:hAnsi="Open Sans Light" w:cs="Open Sans Light"/>
          <w:sz w:val="24"/>
          <w:szCs w:val="24"/>
        </w:rPr>
        <w:t>wania</w:t>
      </w:r>
      <w:r w:rsidRPr="00D57ABE">
        <w:rPr>
          <w:rFonts w:ascii="Open Sans Light" w:hAnsi="Open Sans Light" w:cs="Open Sans Light"/>
          <w:sz w:val="24"/>
          <w:szCs w:val="24"/>
        </w:rPr>
        <w:t xml:space="preserve"> uprawień procesowych. Przyjmowano, że przejawem </w:t>
      </w:r>
      <w:r>
        <w:rPr>
          <w:rFonts w:ascii="Open Sans Light" w:hAnsi="Open Sans Light" w:cs="Open Sans Light"/>
          <w:sz w:val="24"/>
          <w:szCs w:val="24"/>
        </w:rPr>
        <w:t xml:space="preserve">takich działań jest </w:t>
      </w:r>
      <w:r w:rsidRPr="00D57ABE">
        <w:rPr>
          <w:rFonts w:ascii="Open Sans Light" w:hAnsi="Open Sans Light" w:cs="Open Sans Light"/>
          <w:sz w:val="24"/>
          <w:szCs w:val="24"/>
        </w:rPr>
        <w:t>podejmowanie przez stronę czynności, przewidzianych wprawdzie przez ustawę i formalnie dopuszczalnych, które jednak – w okolicznościach konkretnej sprawy – są wykorzystywane niezgodnie z funkcją przepisu, w sposób nieodpowiadający rzeczywistemu celowi przyznanego uprawnienia i naruszający prawo drugiej strony do uzyskania efektywnej ochrony prawnej. Ocen</w:t>
      </w:r>
      <w:r>
        <w:rPr>
          <w:rFonts w:ascii="Open Sans Light" w:hAnsi="Open Sans Light" w:cs="Open Sans Light"/>
          <w:sz w:val="24"/>
          <w:szCs w:val="24"/>
        </w:rPr>
        <w:t xml:space="preserve">y w tym zakresie dokonywano jednak </w:t>
      </w:r>
      <w:r w:rsidRPr="00D57ABE">
        <w:rPr>
          <w:rFonts w:ascii="Open Sans Light" w:hAnsi="Open Sans Light" w:cs="Open Sans Light"/>
          <w:sz w:val="24"/>
          <w:szCs w:val="24"/>
        </w:rPr>
        <w:t>w zwykłym toku postępowania cywilnego</w:t>
      </w:r>
      <w:r>
        <w:rPr>
          <w:rFonts w:ascii="Open Sans Light" w:hAnsi="Open Sans Light" w:cs="Open Sans Light"/>
          <w:sz w:val="24"/>
          <w:szCs w:val="24"/>
        </w:rPr>
        <w:t>, bez jakiegokolwiek ograniczenia w drodze ustawowej uprawnień procesowych stron. W znowelizowanych przepisach wprowadzono generalną klauzulę nadużycia uprawnień procesowych (art. 4</w:t>
      </w:r>
      <w:r>
        <w:rPr>
          <w:rFonts w:ascii="Open Sans Light" w:hAnsi="Open Sans Light" w:cs="Open Sans Light"/>
          <w:sz w:val="24"/>
          <w:szCs w:val="24"/>
          <w:vertAlign w:val="superscript"/>
        </w:rPr>
        <w:t>1</w:t>
      </w:r>
      <w:r>
        <w:rPr>
          <w:rFonts w:ascii="Open Sans Light" w:hAnsi="Open Sans Light" w:cs="Open Sans Light"/>
          <w:sz w:val="24"/>
          <w:szCs w:val="24"/>
        </w:rPr>
        <w:t xml:space="preserve"> k.p.c.), a jednocześnie w wielu przepisach szczegółowo wskazano zachowania stanowiące nadużycie praw procesowych. </w:t>
      </w:r>
      <w:r w:rsidRPr="00D57ABE">
        <w:rPr>
          <w:rFonts w:ascii="Open Sans Light" w:hAnsi="Open Sans Light" w:cs="Open Sans Light"/>
          <w:sz w:val="24"/>
          <w:szCs w:val="24"/>
        </w:rPr>
        <w:t xml:space="preserve">Za jedno takich </w:t>
      </w:r>
      <w:proofErr w:type="spellStart"/>
      <w:r w:rsidRPr="00D57ABE">
        <w:rPr>
          <w:rFonts w:ascii="Open Sans Light" w:hAnsi="Open Sans Light" w:cs="Open Sans Light"/>
          <w:sz w:val="24"/>
          <w:szCs w:val="24"/>
        </w:rPr>
        <w:t>zachowań</w:t>
      </w:r>
      <w:proofErr w:type="spellEnd"/>
      <w:r w:rsidRPr="00D57ABE">
        <w:rPr>
          <w:rFonts w:ascii="Open Sans Light" w:hAnsi="Open Sans Light" w:cs="Open Sans Light"/>
          <w:sz w:val="24"/>
          <w:szCs w:val="24"/>
        </w:rPr>
        <w:t xml:space="preserve">, mimo krytyki doktryny, uznano wytoczenie powództwa oczywiście bezzasadnego. </w:t>
      </w:r>
      <w:r>
        <w:rPr>
          <w:rFonts w:ascii="Open Sans Light" w:hAnsi="Open Sans Light" w:cs="Open Sans Light"/>
          <w:sz w:val="24"/>
          <w:szCs w:val="24"/>
        </w:rPr>
        <w:t xml:space="preserve">Pozwala to rozpoznać sprawę w sposób bardzo uproszczony. </w:t>
      </w:r>
    </w:p>
    <w:p w14:paraId="672AC650" w14:textId="77777777" w:rsidR="00770C6A" w:rsidRDefault="00770C6A" w:rsidP="008D3A06">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Obrazując zagrożenia, które dla rzetelnego procesu, wynikają z regulacji dotyczących oddalenia powództwa oczywiście bezzasadnego, należy odnieść się do kilku aspektów rozpatrywanych łącznie.</w:t>
      </w:r>
    </w:p>
    <w:p w14:paraId="6F06D9BB" w14:textId="77777777" w:rsidR="00770C6A" w:rsidRPr="00D57ABE" w:rsidRDefault="00770C6A" w:rsidP="00E3729E">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Zgodnie z art. 191</w:t>
      </w:r>
      <w:r w:rsidRPr="00D57ABE">
        <w:rPr>
          <w:rFonts w:ascii="Open Sans Light" w:hAnsi="Open Sans Light" w:cs="Open Sans Light"/>
          <w:sz w:val="24"/>
          <w:szCs w:val="24"/>
          <w:vertAlign w:val="superscript"/>
        </w:rPr>
        <w:t>1</w:t>
      </w:r>
      <w:r w:rsidRPr="00D57ABE">
        <w:rPr>
          <w:rFonts w:ascii="Open Sans Light" w:hAnsi="Open Sans Light" w:cs="Open Sans Light"/>
          <w:sz w:val="24"/>
          <w:szCs w:val="24"/>
        </w:rPr>
        <w:t xml:space="preserve"> </w:t>
      </w:r>
      <w:proofErr w:type="spellStart"/>
      <w:r w:rsidRPr="00D57ABE">
        <w:rPr>
          <w:rFonts w:ascii="Open Sans Light" w:hAnsi="Open Sans Light" w:cs="Open Sans Light"/>
          <w:sz w:val="24"/>
          <w:szCs w:val="24"/>
        </w:rPr>
        <w:t>k.p.c</w:t>
      </w:r>
      <w:proofErr w:type="spellEnd"/>
      <w:r w:rsidRPr="00D57ABE">
        <w:rPr>
          <w:rFonts w:ascii="Open Sans Light" w:hAnsi="Open Sans Light" w:cs="Open Sans Light"/>
          <w:sz w:val="24"/>
          <w:szCs w:val="24"/>
        </w:rPr>
        <w:t xml:space="preserve">, sąd ocenia oczywistą bezzasadność powództwa na podstawie samej treści pozwu i załączników, a także okoliczności dotyczących sprawy. </w:t>
      </w:r>
      <w:r>
        <w:rPr>
          <w:rFonts w:ascii="Open Sans Light" w:hAnsi="Open Sans Light" w:cs="Open Sans Light"/>
          <w:sz w:val="24"/>
          <w:szCs w:val="24"/>
        </w:rPr>
        <w:t xml:space="preserve">Wymaga podkreślenia, że już samo niedookreślenie pojęcia powództwa oczywiście bezzasadnego, niezdefiniowanego także w doktrynie, może grozić dowolną oceną sądu rozpoznającego sprawę. Stwierdzenie przez sąd oczywistej bezzasadności powództwo nie prowadzi do wydania orzeczenia formalnego, dotyczącego dopuszczalności powództwa, ale do jego oddalenia, a zatem wydania orzeczenia o charakterze merytorycznym, o skutkach procesowych tożsamych z wyrokiem wydanym po normalnym rozpoznaniu sprawy, w tym w zakresie powagi rzeczy osądzonej. Jednocześnie oddalenie powództwa oczywiście bezzasadnego może nastąpić na posiedzeniu niejawnym, bez udziału stron, </w:t>
      </w:r>
      <w:r w:rsidRPr="009868A2">
        <w:rPr>
          <w:rFonts w:ascii="Open Sans Light" w:hAnsi="Open Sans Light" w:cs="Open Sans Light"/>
          <w:sz w:val="24"/>
          <w:szCs w:val="24"/>
        </w:rPr>
        <w:t>a nawet bez doręczenia odpisu pozwu pozwanemu</w:t>
      </w:r>
      <w:r>
        <w:rPr>
          <w:rFonts w:ascii="Open Sans Light" w:hAnsi="Open Sans Light" w:cs="Open Sans Light"/>
          <w:sz w:val="24"/>
          <w:szCs w:val="24"/>
        </w:rPr>
        <w:t xml:space="preserve">. Pozbawia to strony </w:t>
      </w:r>
      <w:r w:rsidRPr="00D57ABE">
        <w:rPr>
          <w:rFonts w:ascii="Open Sans Light" w:hAnsi="Open Sans Light" w:cs="Open Sans Light"/>
          <w:sz w:val="24"/>
          <w:szCs w:val="24"/>
        </w:rPr>
        <w:t>możliwości przedstawienia swoich racji</w:t>
      </w:r>
      <w:r>
        <w:rPr>
          <w:rFonts w:ascii="Open Sans Light" w:hAnsi="Open Sans Light" w:cs="Open Sans Light"/>
          <w:sz w:val="24"/>
          <w:szCs w:val="24"/>
        </w:rPr>
        <w:t xml:space="preserve">, co godzi w podstawy prawa do wysłuchania. </w:t>
      </w:r>
      <w:r w:rsidRPr="00D57ABE">
        <w:rPr>
          <w:rFonts w:ascii="Open Sans Light" w:hAnsi="Open Sans Light" w:cs="Open Sans Light"/>
          <w:sz w:val="24"/>
          <w:szCs w:val="24"/>
        </w:rPr>
        <w:t xml:space="preserve">Uzasadnienie wyroku ma natomiast sprowadzać się jedynie do wyjaśnienia „dlaczego powództwo zostało uznane za oczywiście bezzasadne”. </w:t>
      </w:r>
    </w:p>
    <w:p w14:paraId="74DBBFA2" w14:textId="77777777" w:rsidR="00770C6A" w:rsidRDefault="00770C6A" w:rsidP="00E3729E">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lastRenderedPageBreak/>
        <w:t xml:space="preserve">Uproszczony sposób rozpoznania sprawy znajduje kontynuację w </w:t>
      </w:r>
      <w:r>
        <w:rPr>
          <w:rFonts w:ascii="Open Sans Light" w:hAnsi="Open Sans Light" w:cs="Open Sans Light"/>
          <w:sz w:val="24"/>
          <w:szCs w:val="24"/>
        </w:rPr>
        <w:t xml:space="preserve">toku </w:t>
      </w:r>
      <w:r w:rsidRPr="00D57ABE">
        <w:rPr>
          <w:rFonts w:ascii="Open Sans Light" w:hAnsi="Open Sans Light" w:cs="Open Sans Light"/>
          <w:sz w:val="24"/>
          <w:szCs w:val="24"/>
        </w:rPr>
        <w:t>kontroli instancyjnej.</w:t>
      </w:r>
      <w:r>
        <w:rPr>
          <w:rFonts w:ascii="Open Sans Light" w:hAnsi="Open Sans Light" w:cs="Open Sans Light"/>
          <w:sz w:val="24"/>
          <w:szCs w:val="24"/>
        </w:rPr>
        <w:t xml:space="preserve"> </w:t>
      </w:r>
      <w:r w:rsidRPr="00D57ABE">
        <w:rPr>
          <w:rFonts w:ascii="Open Sans Light" w:hAnsi="Open Sans Light" w:cs="Open Sans Light"/>
          <w:sz w:val="24"/>
          <w:szCs w:val="24"/>
        </w:rPr>
        <w:t>Zgodnie z art. 391</w:t>
      </w:r>
      <w:r w:rsidRPr="00D57ABE">
        <w:rPr>
          <w:rFonts w:ascii="Open Sans Light" w:hAnsi="Open Sans Light" w:cs="Open Sans Light"/>
          <w:sz w:val="24"/>
          <w:szCs w:val="24"/>
          <w:vertAlign w:val="superscript"/>
        </w:rPr>
        <w:t>1</w:t>
      </w:r>
      <w:r w:rsidRPr="00D57ABE">
        <w:rPr>
          <w:rFonts w:ascii="Open Sans Light" w:hAnsi="Open Sans Light" w:cs="Open Sans Light"/>
          <w:sz w:val="24"/>
          <w:szCs w:val="24"/>
        </w:rPr>
        <w:t xml:space="preserve"> k.p.c.,</w:t>
      </w:r>
      <w:r>
        <w:rPr>
          <w:rFonts w:ascii="Open Sans Light" w:hAnsi="Open Sans Light" w:cs="Open Sans Light"/>
          <w:sz w:val="24"/>
          <w:szCs w:val="24"/>
        </w:rPr>
        <w:t xml:space="preserve"> ograniczeniu podlega badanie wymogów formalnych apelacji. Także sąd drugiej instancji może wydać orzeczenie na posiedzeniu niejawnym, a przedmiotem dokonywanej oceny jest wyłączenie stwierdzenie, czy zasadnie uznano powództwo za oczywiście bezzasadne. </w:t>
      </w:r>
      <w:r w:rsidRPr="00D57ABE">
        <w:rPr>
          <w:rFonts w:ascii="Open Sans Light" w:hAnsi="Open Sans Light" w:cs="Open Sans Light"/>
          <w:sz w:val="24"/>
          <w:szCs w:val="24"/>
        </w:rPr>
        <w:t xml:space="preserve">W tym kontekście do niepokojących wniosków prowadzi lektura uzasadnienia. </w:t>
      </w:r>
      <w:r>
        <w:rPr>
          <w:rFonts w:ascii="Open Sans Light" w:hAnsi="Open Sans Light" w:cs="Open Sans Light"/>
          <w:sz w:val="24"/>
          <w:szCs w:val="24"/>
        </w:rPr>
        <w:t xml:space="preserve">Jego autorzy </w:t>
      </w:r>
      <w:r w:rsidRPr="00D57ABE">
        <w:rPr>
          <w:rFonts w:ascii="Open Sans Light" w:hAnsi="Open Sans Light" w:cs="Open Sans Light"/>
          <w:sz w:val="24"/>
          <w:szCs w:val="24"/>
        </w:rPr>
        <w:t xml:space="preserve">zakładają, że omówione rozwiązania pozwolą ograniczyć pracę sądu </w:t>
      </w:r>
      <w:r>
        <w:rPr>
          <w:rFonts w:ascii="Open Sans Light" w:hAnsi="Open Sans Light" w:cs="Open Sans Light"/>
          <w:sz w:val="24"/>
          <w:szCs w:val="24"/>
        </w:rPr>
        <w:t xml:space="preserve">drugiej instancji </w:t>
      </w:r>
      <w:r w:rsidRPr="00D57ABE">
        <w:rPr>
          <w:rFonts w:ascii="Open Sans Light" w:hAnsi="Open Sans Light" w:cs="Open Sans Light"/>
          <w:sz w:val="24"/>
          <w:szCs w:val="24"/>
        </w:rPr>
        <w:t xml:space="preserve">do minimum, a „tak istotne uproszczenie postępowania powinno doprowadzić do tego, że apelacja (…) będzie rozpoznawana w zasadzie od ręki”. Wprost wyrażono oczekiwanie, że za sprawą przyjętej regulacji czas rozpoznania apelacji zamknie się w kilku dniach. </w:t>
      </w:r>
    </w:p>
    <w:p w14:paraId="2D53AEDA" w14:textId="77777777" w:rsidR="00770C6A" w:rsidRDefault="00770C6A" w:rsidP="007C093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 przypadku oddalenia apelacji skarga kasacyjna jest niedopuszczalna, co oznacza ograniczenia dopuszczalności zaskarżania orzeczeń w sprawach, w których skarga kasacyjna normalnie przysługuje. </w:t>
      </w:r>
      <w:r w:rsidRPr="00D57ABE">
        <w:rPr>
          <w:rFonts w:ascii="Open Sans Light" w:hAnsi="Open Sans Light" w:cs="Open Sans Light"/>
          <w:sz w:val="24"/>
          <w:szCs w:val="24"/>
        </w:rPr>
        <w:t xml:space="preserve">Doszło w ten sposób do wyłączenia kontroli Sądu Najwyższego nad stosowaniem instytucji, która pozbawia stronę gwarancji rozpoznania sprawy w rzetelnym procesie. O wykładni pojęcia „oczywistej bezzasadności” będą decydować </w:t>
      </w:r>
      <w:r>
        <w:rPr>
          <w:rFonts w:ascii="Open Sans Light" w:hAnsi="Open Sans Light" w:cs="Open Sans Light"/>
          <w:sz w:val="24"/>
          <w:szCs w:val="24"/>
        </w:rPr>
        <w:t xml:space="preserve">wyłącznie </w:t>
      </w:r>
      <w:r w:rsidRPr="00D57ABE">
        <w:rPr>
          <w:rFonts w:ascii="Open Sans Light" w:hAnsi="Open Sans Light" w:cs="Open Sans Light"/>
          <w:sz w:val="24"/>
          <w:szCs w:val="24"/>
        </w:rPr>
        <w:t xml:space="preserve">sądy drugiej instancji w uproszczonym postępowaniu, które w założeniach ustawodawcy ma pozwalać na rozpoznanie sprawy niejako „od ręki”. </w:t>
      </w:r>
      <w:r>
        <w:rPr>
          <w:rFonts w:ascii="Open Sans Light" w:hAnsi="Open Sans Light" w:cs="Open Sans Light"/>
          <w:sz w:val="24"/>
          <w:szCs w:val="24"/>
        </w:rPr>
        <w:t xml:space="preserve">Stwarza to zagrożenie dla jednolitości orzecznictwa, której strażnikiem jest Sąd Najwyższy. </w:t>
      </w:r>
    </w:p>
    <w:p w14:paraId="7E67A48D" w14:textId="77777777" w:rsidR="00770C6A" w:rsidRPr="00D57ABE" w:rsidRDefault="00770C6A" w:rsidP="0002108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Szanowni Państwo,</w:t>
      </w:r>
    </w:p>
    <w:p w14:paraId="6920C0BD" w14:textId="77777777" w:rsidR="00770C6A" w:rsidRDefault="00770C6A" w:rsidP="00342D09">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Zwrócenie uwagi na </w:t>
      </w:r>
      <w:r>
        <w:rPr>
          <w:rFonts w:ascii="Open Sans Light" w:hAnsi="Open Sans Light" w:cs="Open Sans Light"/>
          <w:sz w:val="24"/>
          <w:szCs w:val="24"/>
        </w:rPr>
        <w:t xml:space="preserve">wprowadzone obecnie zmiany w kodeksie postępowania cywilnego wskazuje na poważne zagrożenia dla wymogów rzetelnego procesu i zapewnienia zasad gwarantujących realizację prawa do sądu. Pozostaje wyrazić nadzieję, że praktyka stosowania nowych przepisów przez sądy wypełniająca wartości konstytucyjne i przyjazna dla obywateli nie ograniczy im prawa dostępu do sądu niezależnego, bezstronnego i niezawisłego.  </w:t>
      </w:r>
    </w:p>
    <w:p w14:paraId="288EF4E5" w14:textId="77777777" w:rsidR="00770C6A" w:rsidRDefault="00770C6A" w:rsidP="00342D09">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Dziękuję za uwagę. </w:t>
      </w:r>
    </w:p>
    <w:p w14:paraId="0F55ADB1" w14:textId="77777777" w:rsidR="00770C6A" w:rsidRDefault="00770C6A" w:rsidP="0002108F">
      <w:pPr>
        <w:spacing w:after="120" w:line="276" w:lineRule="auto"/>
        <w:ind w:firstLine="708"/>
        <w:jc w:val="both"/>
        <w:rPr>
          <w:rFonts w:ascii="Open Sans Light" w:hAnsi="Open Sans Light" w:cs="Open Sans Light"/>
          <w:sz w:val="24"/>
          <w:szCs w:val="24"/>
        </w:rPr>
      </w:pPr>
    </w:p>
    <w:p w14:paraId="64F51120" w14:textId="77777777" w:rsidR="00770C6A" w:rsidRDefault="00770C6A"/>
    <w:sectPr w:rsidR="00770C6A" w:rsidSect="00FC5D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48DC" w14:textId="77777777" w:rsidR="00244D79" w:rsidRDefault="00244D79" w:rsidP="009868A2">
      <w:pPr>
        <w:spacing w:after="0" w:line="240" w:lineRule="auto"/>
      </w:pPr>
      <w:r>
        <w:separator/>
      </w:r>
    </w:p>
  </w:endnote>
  <w:endnote w:type="continuationSeparator" w:id="0">
    <w:p w14:paraId="79186190" w14:textId="77777777" w:rsidR="00244D79" w:rsidRDefault="00244D79" w:rsidP="0098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altName w:val="Franklin Gothic Medium Cond"/>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3B9B" w14:textId="77777777" w:rsidR="00770C6A" w:rsidRPr="009868A2" w:rsidRDefault="00770C6A">
    <w:pPr>
      <w:pStyle w:val="Stopka"/>
      <w:jc w:val="right"/>
      <w:rPr>
        <w:rFonts w:ascii="Open Sans Light" w:hAnsi="Open Sans Light" w:cs="Open Sans Light"/>
      </w:rPr>
    </w:pPr>
    <w:r w:rsidRPr="009868A2">
      <w:rPr>
        <w:rFonts w:ascii="Open Sans Light" w:hAnsi="Open Sans Light" w:cs="Open Sans Light"/>
      </w:rPr>
      <w:fldChar w:fldCharType="begin"/>
    </w:r>
    <w:r w:rsidRPr="009868A2">
      <w:rPr>
        <w:rFonts w:ascii="Open Sans Light" w:hAnsi="Open Sans Light" w:cs="Open Sans Light"/>
      </w:rPr>
      <w:instrText>PAGE   \* MERGEFORMAT</w:instrText>
    </w:r>
    <w:r w:rsidRPr="009868A2">
      <w:rPr>
        <w:rFonts w:ascii="Open Sans Light" w:hAnsi="Open Sans Light" w:cs="Open Sans Light"/>
      </w:rPr>
      <w:fldChar w:fldCharType="separate"/>
    </w:r>
    <w:r>
      <w:rPr>
        <w:rFonts w:ascii="Open Sans Light" w:hAnsi="Open Sans Light" w:cs="Open Sans Light"/>
        <w:noProof/>
      </w:rPr>
      <w:t>1</w:t>
    </w:r>
    <w:r w:rsidRPr="009868A2">
      <w:rPr>
        <w:rFonts w:ascii="Open Sans Light" w:hAnsi="Open Sans Light" w:cs="Open Sans Light"/>
      </w:rPr>
      <w:fldChar w:fldCharType="end"/>
    </w:r>
  </w:p>
  <w:p w14:paraId="72246C5E" w14:textId="77777777" w:rsidR="00770C6A" w:rsidRDefault="00770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2824" w14:textId="77777777" w:rsidR="00244D79" w:rsidRDefault="00244D79" w:rsidP="009868A2">
      <w:pPr>
        <w:spacing w:after="0" w:line="240" w:lineRule="auto"/>
      </w:pPr>
      <w:r>
        <w:separator/>
      </w:r>
    </w:p>
  </w:footnote>
  <w:footnote w:type="continuationSeparator" w:id="0">
    <w:p w14:paraId="3AFE80EE" w14:textId="77777777" w:rsidR="00244D79" w:rsidRDefault="00244D79" w:rsidP="00986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A7F"/>
    <w:rsid w:val="0002108F"/>
    <w:rsid w:val="00043879"/>
    <w:rsid w:val="00062773"/>
    <w:rsid w:val="0010678E"/>
    <w:rsid w:val="00111FCA"/>
    <w:rsid w:val="00147ACF"/>
    <w:rsid w:val="00201B21"/>
    <w:rsid w:val="00244D79"/>
    <w:rsid w:val="002A05AC"/>
    <w:rsid w:val="00342D09"/>
    <w:rsid w:val="00355D34"/>
    <w:rsid w:val="0038695D"/>
    <w:rsid w:val="00434522"/>
    <w:rsid w:val="004E68D8"/>
    <w:rsid w:val="00555018"/>
    <w:rsid w:val="00653880"/>
    <w:rsid w:val="006617C9"/>
    <w:rsid w:val="00701884"/>
    <w:rsid w:val="00723911"/>
    <w:rsid w:val="00724375"/>
    <w:rsid w:val="00770C6A"/>
    <w:rsid w:val="007C093F"/>
    <w:rsid w:val="007C385F"/>
    <w:rsid w:val="00860C65"/>
    <w:rsid w:val="008D3A06"/>
    <w:rsid w:val="009351C6"/>
    <w:rsid w:val="009868A2"/>
    <w:rsid w:val="00A63675"/>
    <w:rsid w:val="00B36A7F"/>
    <w:rsid w:val="00BE5461"/>
    <w:rsid w:val="00D451B1"/>
    <w:rsid w:val="00D57ABE"/>
    <w:rsid w:val="00D82C7A"/>
    <w:rsid w:val="00D86534"/>
    <w:rsid w:val="00DC2871"/>
    <w:rsid w:val="00DC57A3"/>
    <w:rsid w:val="00E3729E"/>
    <w:rsid w:val="00EE3D20"/>
    <w:rsid w:val="00F01CA5"/>
    <w:rsid w:val="00F1536C"/>
    <w:rsid w:val="00F33738"/>
    <w:rsid w:val="00F4536E"/>
    <w:rsid w:val="00F713BE"/>
    <w:rsid w:val="00FB58A0"/>
    <w:rsid w:val="00FC5DD8"/>
    <w:rsid w:val="00FD3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79E34"/>
  <w15:docId w15:val="{54C91786-C144-4735-A3EB-F600BB4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6A7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A05A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A05AC"/>
    <w:rPr>
      <w:rFonts w:ascii="Segoe UI" w:hAnsi="Segoe UI" w:cs="Segoe UI"/>
      <w:sz w:val="18"/>
      <w:szCs w:val="18"/>
    </w:rPr>
  </w:style>
  <w:style w:type="paragraph" w:styleId="Nagwek">
    <w:name w:val="header"/>
    <w:basedOn w:val="Normalny"/>
    <w:link w:val="NagwekZnak"/>
    <w:uiPriority w:val="99"/>
    <w:rsid w:val="009868A2"/>
    <w:pPr>
      <w:tabs>
        <w:tab w:val="center" w:pos="4536"/>
        <w:tab w:val="right" w:pos="9072"/>
      </w:tabs>
      <w:spacing w:after="0" w:line="240" w:lineRule="auto"/>
    </w:pPr>
  </w:style>
  <w:style w:type="character" w:customStyle="1" w:styleId="NagwekZnak">
    <w:name w:val="Nagłówek Znak"/>
    <w:link w:val="Nagwek"/>
    <w:uiPriority w:val="99"/>
    <w:locked/>
    <w:rsid w:val="009868A2"/>
    <w:rPr>
      <w:rFonts w:cs="Times New Roman"/>
    </w:rPr>
  </w:style>
  <w:style w:type="paragraph" w:styleId="Stopka">
    <w:name w:val="footer"/>
    <w:basedOn w:val="Normalny"/>
    <w:link w:val="StopkaZnak"/>
    <w:uiPriority w:val="99"/>
    <w:rsid w:val="009868A2"/>
    <w:pPr>
      <w:tabs>
        <w:tab w:val="center" w:pos="4536"/>
        <w:tab w:val="right" w:pos="9072"/>
      </w:tabs>
      <w:spacing w:after="0" w:line="240" w:lineRule="auto"/>
    </w:pPr>
  </w:style>
  <w:style w:type="character" w:customStyle="1" w:styleId="StopkaZnak">
    <w:name w:val="Stopka Znak"/>
    <w:link w:val="Stopka"/>
    <w:uiPriority w:val="99"/>
    <w:locked/>
    <w:rsid w:val="009868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11040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Wystąpienie na konferencję Bringing Justice Closer to European Citizens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Wystąpienie na konferencję Bringing Justice Closer to European Citizens </dc:title>
  <dc:subject/>
  <dc:creator>Wołodkiewicz Bartosz</dc:creator>
  <cp:keywords/>
  <dc:description/>
  <cp:lastModifiedBy>Bartosz Szolc-Nartowski</cp:lastModifiedBy>
  <cp:revision>2</cp:revision>
  <cp:lastPrinted>2019-10-21T07:35:00Z</cp:lastPrinted>
  <dcterms:created xsi:type="dcterms:W3CDTF">2019-10-29T09:14:00Z</dcterms:created>
  <dcterms:modified xsi:type="dcterms:W3CDTF">2019-10-29T09:14:00Z</dcterms:modified>
</cp:coreProperties>
</file>