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A1C66" w14:textId="0B1997E7" w:rsidR="001F1DD5" w:rsidRPr="0054086B" w:rsidRDefault="001F1DD5" w:rsidP="001F1DD5">
      <w:pPr>
        <w:rPr>
          <w:b/>
          <w:bCs/>
        </w:rPr>
      </w:pPr>
      <w:r w:rsidRPr="0054086B">
        <w:rPr>
          <w:b/>
          <w:bCs/>
        </w:rPr>
        <w:t>Zakład Prawa Rzymskiego WPiA UG, rok akademicki 202</w:t>
      </w:r>
      <w:r w:rsidR="0047243A" w:rsidRPr="0054086B">
        <w:rPr>
          <w:b/>
          <w:bCs/>
        </w:rPr>
        <w:t>2</w:t>
      </w:r>
      <w:r w:rsidRPr="0054086B">
        <w:rPr>
          <w:b/>
          <w:bCs/>
        </w:rPr>
        <w:t>/202</w:t>
      </w:r>
      <w:r w:rsidR="0047243A" w:rsidRPr="0054086B">
        <w:rPr>
          <w:b/>
          <w:bCs/>
        </w:rPr>
        <w:t>3</w:t>
      </w:r>
    </w:p>
    <w:p w14:paraId="69004F31" w14:textId="77777777" w:rsidR="001F1DD5" w:rsidRPr="0054086B" w:rsidRDefault="001F1DD5" w:rsidP="001F1DD5">
      <w:pPr>
        <w:rPr>
          <w:b/>
          <w:bCs/>
        </w:rPr>
      </w:pPr>
      <w:r w:rsidRPr="0054086B">
        <w:rPr>
          <w:b/>
          <w:bCs/>
        </w:rPr>
        <w:t>„Prawo rzymskie” Ćwiczenia</w:t>
      </w:r>
    </w:p>
    <w:p w14:paraId="56EB1EF1" w14:textId="4685E91F" w:rsidR="001714D5" w:rsidRPr="0054086B" w:rsidRDefault="001F1DD5" w:rsidP="001F1DD5">
      <w:pPr>
        <w:rPr>
          <w:b/>
          <w:bCs/>
        </w:rPr>
      </w:pPr>
      <w:r w:rsidRPr="0054086B">
        <w:rPr>
          <w:b/>
          <w:bCs/>
        </w:rPr>
        <w:t xml:space="preserve">Kwestionariusz zadań nr </w:t>
      </w:r>
      <w:r w:rsidR="0047243A" w:rsidRPr="0054086B">
        <w:rPr>
          <w:b/>
          <w:bCs/>
        </w:rPr>
        <w:t>5</w:t>
      </w:r>
    </w:p>
    <w:p w14:paraId="31714C48" w14:textId="77777777" w:rsidR="005F6D72" w:rsidRPr="0054086B" w:rsidRDefault="005F6D72" w:rsidP="001714D5">
      <w:pPr>
        <w:ind w:left="4248"/>
        <w:rPr>
          <w:i/>
          <w:iCs/>
        </w:rPr>
      </w:pPr>
    </w:p>
    <w:p w14:paraId="009FC2D3" w14:textId="08441586" w:rsidR="00A040FC" w:rsidRPr="00FC0F40" w:rsidRDefault="00A040FC" w:rsidP="00A040FC">
      <w:pPr>
        <w:ind w:left="2832" w:firstLine="708"/>
        <w:jc w:val="right"/>
        <w:rPr>
          <w:bCs/>
          <w:lang w:val="it-IT"/>
        </w:rPr>
      </w:pPr>
      <w:r w:rsidRPr="00422783">
        <w:rPr>
          <w:bCs/>
          <w:i/>
          <w:iCs/>
          <w:lang w:val="it-IT"/>
        </w:rPr>
        <w:t xml:space="preserve">In testamentis plenius voluntates testantium interpretamur </w:t>
      </w:r>
      <w:r w:rsidRPr="00422783">
        <w:rPr>
          <w:bCs/>
          <w:color w:val="202122"/>
        </w:rPr>
        <w:t>(D.</w:t>
      </w:r>
      <w:r w:rsidR="0020503C" w:rsidRPr="00422783">
        <w:rPr>
          <w:bCs/>
          <w:color w:val="202122"/>
        </w:rPr>
        <w:t xml:space="preserve"> </w:t>
      </w:r>
      <w:r w:rsidRPr="00422783">
        <w:rPr>
          <w:bCs/>
          <w:color w:val="202122"/>
        </w:rPr>
        <w:t>50</w:t>
      </w:r>
      <w:r w:rsidR="0020503C" w:rsidRPr="00422783">
        <w:rPr>
          <w:bCs/>
          <w:color w:val="202122"/>
        </w:rPr>
        <w:t>,</w:t>
      </w:r>
      <w:r w:rsidR="00FC0F40">
        <w:rPr>
          <w:bCs/>
          <w:color w:val="202122"/>
        </w:rPr>
        <w:t xml:space="preserve"> </w:t>
      </w:r>
      <w:r w:rsidRPr="00422783">
        <w:rPr>
          <w:bCs/>
          <w:color w:val="202122"/>
        </w:rPr>
        <w:t>17</w:t>
      </w:r>
      <w:r w:rsidR="0020503C" w:rsidRPr="00422783">
        <w:rPr>
          <w:bCs/>
          <w:color w:val="202122"/>
        </w:rPr>
        <w:t>,</w:t>
      </w:r>
      <w:r w:rsidR="00FC0F40">
        <w:rPr>
          <w:bCs/>
          <w:color w:val="202122"/>
        </w:rPr>
        <w:t xml:space="preserve"> </w:t>
      </w:r>
      <w:r w:rsidRPr="00422783">
        <w:rPr>
          <w:bCs/>
          <w:color w:val="202122"/>
        </w:rPr>
        <w:t xml:space="preserve">12 </w:t>
      </w:r>
      <w:r w:rsidRPr="00422783">
        <w:rPr>
          <w:rStyle w:val="Pogrubienie"/>
          <w:b w:val="0"/>
          <w:i/>
          <w:iCs/>
          <w:color w:val="000000"/>
          <w:shd w:val="clear" w:color="auto" w:fill="FFFFFF"/>
        </w:rPr>
        <w:t>Paulus libro tertio ad Sabinum</w:t>
      </w:r>
      <w:r w:rsidRPr="00422783">
        <w:rPr>
          <w:b/>
          <w:color w:val="202122"/>
        </w:rPr>
        <w:t>)</w:t>
      </w:r>
      <w:r w:rsidRPr="00422783">
        <w:rPr>
          <w:bCs/>
          <w:color w:val="202122"/>
        </w:rPr>
        <w:t xml:space="preserve"> </w:t>
      </w:r>
      <w:r w:rsidRPr="00422783">
        <w:rPr>
          <w:bCs/>
          <w:i/>
          <w:iCs/>
          <w:lang w:val="it-IT"/>
        </w:rPr>
        <w:t xml:space="preserve"> – </w:t>
      </w:r>
      <w:r w:rsidR="00FC0F40">
        <w:rPr>
          <w:bCs/>
          <w:lang w:val="it-IT"/>
        </w:rPr>
        <w:t>W</w:t>
      </w:r>
      <w:r w:rsidRPr="00FC0F40">
        <w:rPr>
          <w:bCs/>
          <w:lang w:val="it-IT"/>
        </w:rPr>
        <w:t xml:space="preserve"> testamentach jak najpełniej wykładamy wolę testatorów</w:t>
      </w:r>
    </w:p>
    <w:p w14:paraId="3D4FA470" w14:textId="77777777" w:rsidR="00A040FC" w:rsidRPr="0054086B" w:rsidRDefault="00A040FC" w:rsidP="00A040FC">
      <w:pPr>
        <w:ind w:left="2832" w:firstLine="708"/>
        <w:jc w:val="right"/>
        <w:rPr>
          <w:bCs/>
          <w:i/>
          <w:iCs/>
        </w:rPr>
      </w:pPr>
    </w:p>
    <w:p w14:paraId="45864E58" w14:textId="77777777" w:rsidR="001714D5" w:rsidRPr="0054086B" w:rsidRDefault="001714D5" w:rsidP="001714D5">
      <w:pPr>
        <w:rPr>
          <w:b/>
          <w:bCs/>
          <w:lang w:val="it-IT"/>
        </w:rPr>
      </w:pPr>
    </w:p>
    <w:p w14:paraId="43CC19AB" w14:textId="31591C1C" w:rsidR="001714D5" w:rsidRPr="0054086B" w:rsidRDefault="001714D5" w:rsidP="001714D5">
      <w:r w:rsidRPr="0054086B">
        <w:rPr>
          <w:b/>
          <w:bCs/>
        </w:rPr>
        <w:t>I. Cel zajęć:</w:t>
      </w:r>
      <w:r w:rsidRPr="0054086B">
        <w:t xml:space="preserve"> Celem zajęć jest </w:t>
      </w:r>
      <w:r w:rsidR="00AF374F" w:rsidRPr="0054086B">
        <w:t>kontynuacja</w:t>
      </w:r>
      <w:r w:rsidRPr="0054086B">
        <w:t xml:space="preserve"> zagadnień związanych z rzymskim prawem </w:t>
      </w:r>
      <w:r w:rsidR="00FE0004" w:rsidRPr="0054086B">
        <w:t xml:space="preserve">spadkowym. </w:t>
      </w:r>
      <w:r w:rsidRPr="0054086B">
        <w:t xml:space="preserve">Studenci poznają </w:t>
      </w:r>
      <w:r w:rsidR="00AF374F" w:rsidRPr="0054086B">
        <w:t>poszczególne typy dyspozycji testamentowych, wprowadzeni zostaną w problematykę nabycia spadku, przyjęcia spadku i odpowiedzialności za długi spadkowe</w:t>
      </w:r>
      <w:r w:rsidR="00D40A04" w:rsidRPr="0054086B">
        <w:t>, ochrony praw do spadku</w:t>
      </w:r>
      <w:r w:rsidR="00AF374F" w:rsidRPr="0054086B">
        <w:t>.</w:t>
      </w:r>
    </w:p>
    <w:p w14:paraId="29B9FC65" w14:textId="77777777" w:rsidR="00FE0004" w:rsidRPr="0054086B" w:rsidRDefault="00FE0004" w:rsidP="001714D5"/>
    <w:p w14:paraId="0801982E" w14:textId="64FACF54" w:rsidR="001714D5" w:rsidRPr="0054086B" w:rsidRDefault="001714D5" w:rsidP="001714D5">
      <w:pPr>
        <w:rPr>
          <w:color w:val="222222"/>
          <w:shd w:val="clear" w:color="auto" w:fill="FFFFFF"/>
        </w:rPr>
      </w:pPr>
      <w:r w:rsidRPr="0054086B">
        <w:rPr>
          <w:b/>
          <w:bCs/>
          <w:color w:val="222222"/>
          <w:shd w:val="clear" w:color="auto" w:fill="FFFFFF"/>
        </w:rPr>
        <w:t xml:space="preserve">Czas </w:t>
      </w:r>
      <w:r w:rsidRPr="0054086B">
        <w:rPr>
          <w:color w:val="222222"/>
          <w:shd w:val="clear" w:color="auto" w:fill="FFFFFF"/>
        </w:rPr>
        <w:t xml:space="preserve">pracy własnej: </w:t>
      </w:r>
      <w:r w:rsidR="00C57570" w:rsidRPr="0054086B">
        <w:rPr>
          <w:color w:val="222222"/>
          <w:shd w:val="clear" w:color="auto" w:fill="FFFFFF"/>
        </w:rPr>
        <w:t>420</w:t>
      </w:r>
      <w:r w:rsidRPr="0054086B">
        <w:rPr>
          <w:color w:val="222222"/>
          <w:shd w:val="clear" w:color="auto" w:fill="FFFFFF"/>
        </w:rPr>
        <w:t xml:space="preserve"> min.</w:t>
      </w:r>
    </w:p>
    <w:p w14:paraId="4037D522" w14:textId="77777777" w:rsidR="001714D5" w:rsidRPr="0054086B" w:rsidRDefault="001714D5" w:rsidP="001714D5">
      <w:pPr>
        <w:rPr>
          <w:color w:val="222222"/>
          <w:shd w:val="clear" w:color="auto" w:fill="FFFFFF"/>
        </w:rPr>
      </w:pPr>
      <w:r w:rsidRPr="0054086B">
        <w:rPr>
          <w:color w:val="222222"/>
          <w:shd w:val="clear" w:color="auto" w:fill="FFFFFF"/>
        </w:rPr>
        <w:t>Czas zajęć: 2x45 min.</w:t>
      </w:r>
    </w:p>
    <w:p w14:paraId="38F84A93" w14:textId="77777777" w:rsidR="001714D5" w:rsidRPr="0054086B" w:rsidRDefault="001714D5" w:rsidP="001714D5">
      <w:pPr>
        <w:rPr>
          <w:color w:val="222222"/>
          <w:shd w:val="clear" w:color="auto" w:fill="FFFFFF"/>
        </w:rPr>
      </w:pPr>
    </w:p>
    <w:p w14:paraId="2851BF59" w14:textId="77777777" w:rsidR="001714D5" w:rsidRPr="0054086B" w:rsidRDefault="001714D5" w:rsidP="001714D5">
      <w:pPr>
        <w:rPr>
          <w:color w:val="222222"/>
          <w:shd w:val="clear" w:color="auto" w:fill="FFFFFF"/>
        </w:rPr>
      </w:pPr>
      <w:r w:rsidRPr="0054086B">
        <w:rPr>
          <w:b/>
          <w:bCs/>
          <w:color w:val="222222"/>
          <w:shd w:val="clear" w:color="auto" w:fill="FFFFFF"/>
        </w:rPr>
        <w:t>Zadania:</w:t>
      </w:r>
      <w:r w:rsidRPr="0054086B">
        <w:rPr>
          <w:color w:val="222222"/>
          <w:shd w:val="clear" w:color="auto" w:fill="FFFFFF"/>
        </w:rPr>
        <w:t xml:space="preserve"> Student jest zobowiązany przed zajęciami do zapoznania się z treścią podręcznika i sporządzenia słowniczka terminów i pojęć. Ponadto winien przetłumaczyć podane proste teksty łacińskie oraz opanować pamięciowo teksty źródłowe. Jest zobowiązany do samodzielnego rozwiązania testu, przedstawienia zagadnienia problemowego oraz rozwiązania kazusu. Uwaga! Wszystkie zadania musza być wykonywane przez studenta </w:t>
      </w:r>
      <w:r w:rsidRPr="0054086B">
        <w:rPr>
          <w:color w:val="222222"/>
          <w:u w:val="single"/>
          <w:shd w:val="clear" w:color="auto" w:fill="FFFFFF"/>
        </w:rPr>
        <w:t>indywidualnie</w:t>
      </w:r>
      <w:r w:rsidRPr="0054086B">
        <w:rPr>
          <w:color w:val="222222"/>
          <w:shd w:val="clear" w:color="auto" w:fill="FFFFFF"/>
        </w:rPr>
        <w:t>.</w:t>
      </w:r>
    </w:p>
    <w:p w14:paraId="632679EB" w14:textId="77777777" w:rsidR="001714D5" w:rsidRPr="0054086B" w:rsidRDefault="001714D5" w:rsidP="001714D5">
      <w:pPr>
        <w:rPr>
          <w:color w:val="222222"/>
          <w:shd w:val="clear" w:color="auto" w:fill="FFFFFF"/>
        </w:rPr>
      </w:pPr>
    </w:p>
    <w:p w14:paraId="56201C3D" w14:textId="7933E23A" w:rsidR="001714D5" w:rsidRPr="0054086B" w:rsidRDefault="001714D5" w:rsidP="001714D5">
      <w:r w:rsidRPr="0054086B">
        <w:rPr>
          <w:b/>
          <w:bCs/>
        </w:rPr>
        <w:t xml:space="preserve">Lektura: </w:t>
      </w:r>
      <w:r w:rsidRPr="0054086B">
        <w:t xml:space="preserve">podręcznik T. Giaro, W. Dajczak, F. Longchamps de Berier, </w:t>
      </w:r>
      <w:r w:rsidRPr="0054086B">
        <w:rPr>
          <w:i/>
          <w:iCs/>
        </w:rPr>
        <w:t>Prawo rzymskie. U podstaw prawa prywatnego</w:t>
      </w:r>
      <w:r w:rsidRPr="0054086B">
        <w:t>, wyd. 3, Warszawa 2018</w:t>
      </w:r>
      <w:r w:rsidR="00AF374F" w:rsidRPr="0054086B">
        <w:t xml:space="preserve"> (rozdział 4.3.2 oraz 4.4.2-4</w:t>
      </w:r>
      <w:r w:rsidR="00D40A04" w:rsidRPr="0054086B">
        <w:t>);</w:t>
      </w:r>
      <w:r w:rsidRPr="0054086B">
        <w:t xml:space="preserve"> K. Kolańczyk, </w:t>
      </w:r>
      <w:r w:rsidRPr="0054086B">
        <w:rPr>
          <w:i/>
        </w:rPr>
        <w:t>Prawo rzymskie</w:t>
      </w:r>
      <w:r w:rsidRPr="0054086B">
        <w:t>, w wyd. V</w:t>
      </w:r>
      <w:r w:rsidR="00D40A04" w:rsidRPr="0054086B">
        <w:t>I § 160-162</w:t>
      </w:r>
      <w:r w:rsidRPr="0054086B">
        <w:t>.</w:t>
      </w:r>
    </w:p>
    <w:p w14:paraId="28E83145" w14:textId="77777777" w:rsidR="001714D5" w:rsidRPr="0054086B" w:rsidRDefault="001714D5" w:rsidP="001714D5"/>
    <w:p w14:paraId="6EB6E720" w14:textId="77777777" w:rsidR="001714D5" w:rsidRPr="0054086B" w:rsidRDefault="001714D5" w:rsidP="001714D5">
      <w:pPr>
        <w:rPr>
          <w:b/>
        </w:rPr>
      </w:pPr>
    </w:p>
    <w:p w14:paraId="79CDA644" w14:textId="77777777" w:rsidR="001714D5" w:rsidRPr="0054086B" w:rsidRDefault="001714D5" w:rsidP="001714D5">
      <w:pPr>
        <w:rPr>
          <w:b/>
        </w:rPr>
      </w:pPr>
      <w:r w:rsidRPr="0054086B">
        <w:rPr>
          <w:b/>
        </w:rPr>
        <w:t>II. Słowniczek terminów i pojęć obowiązujących do samodzielnego sporządzenia i wyjaśnienia</w:t>
      </w:r>
    </w:p>
    <w:p w14:paraId="6170716B" w14:textId="77777777" w:rsidR="001714D5" w:rsidRPr="0054086B" w:rsidRDefault="001714D5" w:rsidP="001714D5">
      <w:pPr>
        <w:rPr>
          <w:u w:val="single"/>
        </w:rPr>
      </w:pPr>
    </w:p>
    <w:p w14:paraId="542E93F0" w14:textId="5F62B157" w:rsidR="00D40A04" w:rsidRPr="0054086B" w:rsidRDefault="00AF374F" w:rsidP="001714D5">
      <w:pPr>
        <w:rPr>
          <w:lang w:val="en-US"/>
        </w:rPr>
      </w:pPr>
      <w:r w:rsidRPr="0054086B">
        <w:rPr>
          <w:b/>
          <w:bCs/>
          <w:lang w:val="en-US"/>
        </w:rPr>
        <w:t>Nabycie spadku</w:t>
      </w:r>
      <w:r w:rsidR="001714D5" w:rsidRPr="0054086B">
        <w:rPr>
          <w:b/>
          <w:bCs/>
          <w:lang w:val="en-US"/>
        </w:rPr>
        <w:t>:</w:t>
      </w:r>
      <w:r w:rsidR="001714D5" w:rsidRPr="0054086B">
        <w:rPr>
          <w:lang w:val="en-US"/>
        </w:rPr>
        <w:t xml:space="preserve"> </w:t>
      </w:r>
      <w:r w:rsidRPr="0054086B">
        <w:rPr>
          <w:lang w:val="en-US"/>
        </w:rPr>
        <w:t xml:space="preserve">aditio hereditatis, cretio, pro herede gestio, hereditas iacens, usucapio pro herede, </w:t>
      </w:r>
      <w:r w:rsidR="00D40A04" w:rsidRPr="0054086B">
        <w:rPr>
          <w:lang w:val="en-US"/>
        </w:rPr>
        <w:t>transmissio, indignitas, in iure cessio hereditatis, venditio hereditatis</w:t>
      </w:r>
    </w:p>
    <w:p w14:paraId="31BBF34F" w14:textId="683A39F5" w:rsidR="001714D5" w:rsidRPr="0054086B" w:rsidRDefault="00D40A04" w:rsidP="001714D5">
      <w:pPr>
        <w:rPr>
          <w:lang w:val="en-US"/>
        </w:rPr>
      </w:pPr>
      <w:r w:rsidRPr="0054086B">
        <w:rPr>
          <w:b/>
          <w:bCs/>
          <w:lang w:val="en-US"/>
        </w:rPr>
        <w:t>Ochrona prawa do spadku:</w:t>
      </w:r>
      <w:r w:rsidRPr="0054086B">
        <w:rPr>
          <w:lang w:val="en-US"/>
        </w:rPr>
        <w:t xml:space="preserve"> hereditas petitio, interdictum quorum bonorum, hereditas petitio possessoria</w:t>
      </w:r>
    </w:p>
    <w:p w14:paraId="12F457CB" w14:textId="7D555A42" w:rsidR="00D40A04" w:rsidRPr="0054086B" w:rsidRDefault="00D40A04" w:rsidP="001714D5">
      <w:pPr>
        <w:rPr>
          <w:lang w:val="en-US"/>
        </w:rPr>
      </w:pPr>
      <w:r w:rsidRPr="0054086B">
        <w:rPr>
          <w:b/>
          <w:bCs/>
          <w:lang w:val="en-US"/>
        </w:rPr>
        <w:t>Wielość dziedziców:</w:t>
      </w:r>
      <w:r w:rsidRPr="0054086B">
        <w:rPr>
          <w:lang w:val="en-US"/>
        </w:rPr>
        <w:t xml:space="preserve"> coheredes, actio familia</w:t>
      </w:r>
      <w:r w:rsidR="008306BB" w:rsidRPr="0054086B">
        <w:rPr>
          <w:lang w:val="en-US"/>
        </w:rPr>
        <w:t>e</w:t>
      </w:r>
      <w:r w:rsidRPr="0054086B">
        <w:rPr>
          <w:lang w:val="en-US"/>
        </w:rPr>
        <w:t xml:space="preserve"> erciscundae, ius adcrescendi, collatio</w:t>
      </w:r>
    </w:p>
    <w:p w14:paraId="06913795" w14:textId="6AB7DFB1" w:rsidR="00D40A04" w:rsidRPr="00FC0F40" w:rsidRDefault="00D40A04" w:rsidP="001714D5">
      <w:r w:rsidRPr="0054086B">
        <w:rPr>
          <w:b/>
          <w:bCs/>
        </w:rPr>
        <w:t>Odpowiedzialność za długi spadkowe:</w:t>
      </w:r>
      <w:r w:rsidRPr="0054086B">
        <w:t xml:space="preserve"> separatio bonorum, </w:t>
      </w:r>
      <w:r w:rsidRPr="00FC0F40">
        <w:t>benefic</w:t>
      </w:r>
      <w:r w:rsidR="00EF01F0" w:rsidRPr="00FC0F40">
        <w:t>i</w:t>
      </w:r>
      <w:r w:rsidRPr="00FC0F40">
        <w:t>um inventarii</w:t>
      </w:r>
    </w:p>
    <w:p w14:paraId="246BD85E" w14:textId="3C9280E2" w:rsidR="00B32263" w:rsidRPr="0054086B" w:rsidRDefault="00D40A04" w:rsidP="001714D5">
      <w:pPr>
        <w:rPr>
          <w:lang w:val="en-US"/>
        </w:rPr>
      </w:pPr>
      <w:r w:rsidRPr="00FC0F40">
        <w:rPr>
          <w:b/>
          <w:bCs/>
          <w:lang w:val="en-US"/>
        </w:rPr>
        <w:t>Legaty i fideikomisy</w:t>
      </w:r>
      <w:r w:rsidR="001714D5" w:rsidRPr="00FC0F40">
        <w:rPr>
          <w:b/>
          <w:bCs/>
          <w:lang w:val="en-US"/>
        </w:rPr>
        <w:t>:</w:t>
      </w:r>
      <w:r w:rsidR="001714D5" w:rsidRPr="00FC0F40">
        <w:rPr>
          <w:lang w:val="en-US"/>
        </w:rPr>
        <w:t xml:space="preserve"> </w:t>
      </w:r>
      <w:r w:rsidR="00B32263" w:rsidRPr="00FC0F40">
        <w:rPr>
          <w:lang w:val="en-US"/>
        </w:rPr>
        <w:t xml:space="preserve">legatum, </w:t>
      </w:r>
      <w:r w:rsidRPr="00FC0F40">
        <w:rPr>
          <w:lang w:val="en-US"/>
        </w:rPr>
        <w:t xml:space="preserve">lex Falcidia, </w:t>
      </w:r>
      <w:r w:rsidR="00B32263" w:rsidRPr="00FC0F40">
        <w:rPr>
          <w:lang w:val="en-US"/>
        </w:rPr>
        <w:t xml:space="preserve">fideicommissum, </w:t>
      </w:r>
      <w:r w:rsidRPr="00FC0F40">
        <w:rPr>
          <w:lang w:val="en-US"/>
        </w:rPr>
        <w:t xml:space="preserve">fideicommissum hereditatis, </w:t>
      </w:r>
      <w:r w:rsidR="00B32263" w:rsidRPr="00FC0F40">
        <w:rPr>
          <w:lang w:val="en-US"/>
        </w:rPr>
        <w:t>donatio mortis causa, modus</w:t>
      </w:r>
      <w:r w:rsidR="005975D0" w:rsidRPr="00FC0F40">
        <w:rPr>
          <w:lang w:val="en-US"/>
        </w:rPr>
        <w:t>, codicilli</w:t>
      </w:r>
    </w:p>
    <w:p w14:paraId="3537EEDF" w14:textId="77777777" w:rsidR="001F1DD5" w:rsidRPr="0054086B" w:rsidRDefault="001F1DD5" w:rsidP="001714D5">
      <w:pPr>
        <w:rPr>
          <w:b/>
          <w:lang w:val="it-IT"/>
        </w:rPr>
      </w:pPr>
    </w:p>
    <w:p w14:paraId="7FD661CD" w14:textId="77777777" w:rsidR="001F1DD5" w:rsidRPr="0054086B" w:rsidRDefault="001F1DD5" w:rsidP="001714D5">
      <w:pPr>
        <w:rPr>
          <w:b/>
          <w:lang w:val="it-IT"/>
        </w:rPr>
      </w:pPr>
    </w:p>
    <w:p w14:paraId="12F372EE" w14:textId="2A8F6971" w:rsidR="008306BB" w:rsidRPr="0054086B" w:rsidRDefault="001714D5" w:rsidP="008306BB">
      <w:pPr>
        <w:rPr>
          <w:b/>
          <w:lang w:val="it-IT"/>
        </w:rPr>
      </w:pPr>
      <w:r w:rsidRPr="0054086B">
        <w:rPr>
          <w:b/>
          <w:lang w:val="it-IT"/>
        </w:rPr>
        <w:t xml:space="preserve">IV. </w:t>
      </w:r>
      <w:r w:rsidR="0069655F" w:rsidRPr="0054086B">
        <w:rPr>
          <w:b/>
          <w:lang w:val="it-IT"/>
        </w:rPr>
        <w:t>Paremie prawnicze:</w:t>
      </w:r>
    </w:p>
    <w:p w14:paraId="072FF72D" w14:textId="287618EE" w:rsidR="0054086B" w:rsidRPr="0054086B" w:rsidRDefault="0054086B" w:rsidP="0054086B">
      <w:r w:rsidRPr="0054086B">
        <w:rPr>
          <w:i/>
          <w:iCs/>
          <w:color w:val="000000"/>
        </w:rPr>
        <w:t>Testamentum ambulatoria est enim voluntas defuncti usque ad vitae supremum exitum</w:t>
      </w:r>
      <w:r w:rsidR="00763C34">
        <w:rPr>
          <w:i/>
          <w:iCs/>
          <w:color w:val="000000"/>
        </w:rPr>
        <w:t xml:space="preserve"> </w:t>
      </w:r>
      <w:r w:rsidRPr="0054086B">
        <w:rPr>
          <w:color w:val="000000"/>
          <w:shd w:val="clear" w:color="auto" w:fill="FFFFFF"/>
        </w:rPr>
        <w:t> (D. 34</w:t>
      </w:r>
      <w:r>
        <w:rPr>
          <w:color w:val="000000"/>
          <w:shd w:val="clear" w:color="auto" w:fill="FFFFFF"/>
        </w:rPr>
        <w:t>,</w:t>
      </w:r>
      <w:r w:rsidRPr="0054086B">
        <w:rPr>
          <w:color w:val="000000"/>
          <w:shd w:val="clear" w:color="auto" w:fill="FFFFFF"/>
        </w:rPr>
        <w:t>4</w:t>
      </w:r>
      <w:r>
        <w:rPr>
          <w:color w:val="000000"/>
          <w:shd w:val="clear" w:color="auto" w:fill="FFFFFF"/>
        </w:rPr>
        <w:t>,</w:t>
      </w:r>
      <w:r w:rsidRPr="0054086B">
        <w:rPr>
          <w:color w:val="000000"/>
          <w:shd w:val="clear" w:color="auto" w:fill="FFFFFF"/>
        </w:rPr>
        <w:t>4) – Testament zmienną jest bowiem wolą zmarłego aż do samego kresu życia.</w:t>
      </w:r>
    </w:p>
    <w:p w14:paraId="5ACCCBB9" w14:textId="77777777" w:rsidR="0054086B" w:rsidRPr="0054086B" w:rsidRDefault="0054086B" w:rsidP="008306BB">
      <w:pPr>
        <w:rPr>
          <w:b/>
        </w:rPr>
      </w:pPr>
    </w:p>
    <w:p w14:paraId="269D0325" w14:textId="3E8741E1" w:rsidR="00AF7E90" w:rsidRPr="0054086B" w:rsidRDefault="00DC6BAB" w:rsidP="00AF7E90">
      <w:pPr>
        <w:shd w:val="clear" w:color="auto" w:fill="FFFFFF"/>
        <w:spacing w:before="100" w:beforeAutospacing="1" w:after="24"/>
        <w:rPr>
          <w:i/>
          <w:iCs/>
          <w:color w:val="202122"/>
        </w:rPr>
      </w:pPr>
      <w:hyperlink r:id="rId7" w:tooltip="Nemo plus iuris" w:history="1">
        <w:r w:rsidR="00AF7E90" w:rsidRPr="00DA04AA">
          <w:rPr>
            <w:rStyle w:val="Hipercze"/>
            <w:i/>
            <w:iCs/>
            <w:color w:val="000000" w:themeColor="text1"/>
            <w:u w:val="none"/>
            <w:shd w:val="clear" w:color="auto" w:fill="FFFFFF"/>
          </w:rPr>
          <w:t>Nemo plus iuris ad alium transferre potest quam ipse habet</w:t>
        </w:r>
      </w:hyperlink>
      <w:r w:rsidR="00AF7E90" w:rsidRPr="00DA04AA">
        <w:rPr>
          <w:color w:val="000000" w:themeColor="text1"/>
          <w:shd w:val="clear" w:color="auto" w:fill="FFFFFF"/>
        </w:rPr>
        <w:t> </w:t>
      </w:r>
      <w:r w:rsidR="00AF7E90" w:rsidRPr="0054086B">
        <w:rPr>
          <w:shd w:val="clear" w:color="auto" w:fill="FFFFFF"/>
        </w:rPr>
        <w:t>(D. 50,</w:t>
      </w:r>
      <w:r w:rsidR="00FC0F40">
        <w:rPr>
          <w:shd w:val="clear" w:color="auto" w:fill="FFFFFF"/>
        </w:rPr>
        <w:t xml:space="preserve"> </w:t>
      </w:r>
      <w:r w:rsidR="00AF7E90" w:rsidRPr="0054086B">
        <w:rPr>
          <w:shd w:val="clear" w:color="auto" w:fill="FFFFFF"/>
        </w:rPr>
        <w:t>17,</w:t>
      </w:r>
      <w:r w:rsidR="00FC0F40">
        <w:rPr>
          <w:shd w:val="clear" w:color="auto" w:fill="FFFFFF"/>
        </w:rPr>
        <w:t xml:space="preserve"> </w:t>
      </w:r>
      <w:r w:rsidR="00AF7E90" w:rsidRPr="0054086B">
        <w:rPr>
          <w:shd w:val="clear" w:color="auto" w:fill="FFFFFF"/>
        </w:rPr>
        <w:t xml:space="preserve">54) – Nie można </w:t>
      </w:r>
      <w:r w:rsidR="00AF7E90" w:rsidRPr="0054086B">
        <w:rPr>
          <w:color w:val="202122"/>
          <w:shd w:val="clear" w:color="auto" w:fill="FFFFFF"/>
        </w:rPr>
        <w:t>przenieść na drugiego więcej praw, niż ma się samemu</w:t>
      </w:r>
      <w:r w:rsidR="00AF7E90" w:rsidRPr="0054086B">
        <w:rPr>
          <w:i/>
          <w:iCs/>
          <w:color w:val="202122"/>
        </w:rPr>
        <w:t>.</w:t>
      </w:r>
    </w:p>
    <w:p w14:paraId="4BE80D3E" w14:textId="65F71BFE" w:rsidR="00AF7E90" w:rsidRPr="0054086B" w:rsidRDefault="00AF7E90" w:rsidP="00AF7E90">
      <w:pPr>
        <w:shd w:val="clear" w:color="auto" w:fill="FFFFFF"/>
        <w:spacing w:before="100" w:beforeAutospacing="1" w:after="24"/>
        <w:rPr>
          <w:color w:val="202122"/>
        </w:rPr>
      </w:pPr>
      <w:r w:rsidRPr="0054086B">
        <w:rPr>
          <w:i/>
          <w:iCs/>
          <w:color w:val="202122"/>
        </w:rPr>
        <w:t>Cum in verbis nulla ambiguitas est, non debet admitti voluntatis quaestio</w:t>
      </w:r>
      <w:r w:rsidRPr="0054086B">
        <w:rPr>
          <w:color w:val="202122"/>
        </w:rPr>
        <w:t> (D. 32,25,</w:t>
      </w:r>
      <w:r w:rsidR="00FC0F40">
        <w:rPr>
          <w:color w:val="202122"/>
        </w:rPr>
        <w:t xml:space="preserve"> </w:t>
      </w:r>
      <w:r w:rsidRPr="0054086B">
        <w:rPr>
          <w:color w:val="202122"/>
        </w:rPr>
        <w:t>1) – Gdy w słowach nie ma żadnej dwuznaczności, nie należy podnosić kwestii woli.</w:t>
      </w:r>
    </w:p>
    <w:p w14:paraId="4673BCAE" w14:textId="77777777" w:rsidR="00AF7E90" w:rsidRPr="0054086B" w:rsidRDefault="00AF7E90" w:rsidP="00AF7E90">
      <w:pPr>
        <w:rPr>
          <w:bCs/>
          <w:i/>
          <w:iCs/>
          <w:lang w:val="it-IT"/>
        </w:rPr>
      </w:pPr>
      <w:r w:rsidRPr="0054086B">
        <w:rPr>
          <w:bCs/>
          <w:i/>
          <w:iCs/>
          <w:lang w:val="it-IT"/>
        </w:rPr>
        <w:t xml:space="preserve"> </w:t>
      </w:r>
    </w:p>
    <w:p w14:paraId="435213FE" w14:textId="3280CE32" w:rsidR="00B90900" w:rsidRPr="0054086B" w:rsidRDefault="00AF7E90" w:rsidP="00AF7E90">
      <w:pPr>
        <w:rPr>
          <w:bCs/>
          <w:i/>
          <w:iCs/>
          <w:lang w:val="it-IT"/>
        </w:rPr>
      </w:pPr>
      <w:r w:rsidRPr="0054086B">
        <w:rPr>
          <w:bCs/>
          <w:i/>
          <w:iCs/>
          <w:lang w:val="it-IT"/>
        </w:rPr>
        <w:t>F</w:t>
      </w:r>
      <w:r w:rsidR="00B90900" w:rsidRPr="0054086B">
        <w:rPr>
          <w:bCs/>
          <w:i/>
          <w:iCs/>
          <w:lang w:val="it-IT"/>
        </w:rPr>
        <w:t>alsa demonstratio non nocet</w:t>
      </w:r>
      <w:r w:rsidR="004626F7" w:rsidRPr="0054086B">
        <w:rPr>
          <w:bCs/>
          <w:i/>
          <w:iCs/>
          <w:lang w:val="it-IT"/>
        </w:rPr>
        <w:t xml:space="preserve"> </w:t>
      </w:r>
      <w:r w:rsidR="005E5931" w:rsidRPr="0054086B">
        <w:rPr>
          <w:bCs/>
          <w:i/>
          <w:iCs/>
          <w:lang w:val="it-IT"/>
        </w:rPr>
        <w:t xml:space="preserve">[neque legatario nequo fideicommissario neque herede instituto] </w:t>
      </w:r>
      <w:r w:rsidR="004626F7" w:rsidRPr="0054086B">
        <w:rPr>
          <w:bCs/>
          <w:lang w:val="it-IT"/>
        </w:rPr>
        <w:t>(</w:t>
      </w:r>
      <w:r w:rsidR="005E5931" w:rsidRPr="0054086B">
        <w:rPr>
          <w:bCs/>
          <w:lang w:val="it-IT"/>
        </w:rPr>
        <w:t>D. 35,</w:t>
      </w:r>
      <w:r w:rsidR="00FC0F40">
        <w:rPr>
          <w:bCs/>
          <w:lang w:val="it-IT"/>
        </w:rPr>
        <w:t xml:space="preserve"> </w:t>
      </w:r>
      <w:r w:rsidR="005E5931" w:rsidRPr="0054086B">
        <w:rPr>
          <w:bCs/>
          <w:lang w:val="it-IT"/>
        </w:rPr>
        <w:t>1,</w:t>
      </w:r>
      <w:r w:rsidR="00FC0F40">
        <w:rPr>
          <w:bCs/>
          <w:lang w:val="it-IT"/>
        </w:rPr>
        <w:t xml:space="preserve"> </w:t>
      </w:r>
      <w:r w:rsidR="005E5931" w:rsidRPr="0054086B">
        <w:rPr>
          <w:bCs/>
          <w:lang w:val="it-IT"/>
        </w:rPr>
        <w:t>33 pr</w:t>
      </w:r>
      <w:r w:rsidR="005E5931" w:rsidRPr="0054086B">
        <w:rPr>
          <w:bCs/>
          <w:i/>
          <w:iCs/>
          <w:lang w:val="it-IT"/>
        </w:rPr>
        <w:t>.</w:t>
      </w:r>
      <w:r w:rsidR="005E5931" w:rsidRPr="0054086B">
        <w:rPr>
          <w:bCs/>
          <w:lang w:val="it-IT"/>
        </w:rPr>
        <w:t>)</w:t>
      </w:r>
      <w:r w:rsidR="005E5931" w:rsidRPr="0054086B">
        <w:rPr>
          <w:bCs/>
          <w:i/>
          <w:iCs/>
          <w:lang w:val="it-IT"/>
        </w:rPr>
        <w:t xml:space="preserve"> – </w:t>
      </w:r>
      <w:r w:rsidR="005E5931" w:rsidRPr="00FC0F40">
        <w:rPr>
          <w:bCs/>
          <w:lang w:val="it-IT"/>
        </w:rPr>
        <w:t xml:space="preserve">błędne </w:t>
      </w:r>
      <w:r w:rsidR="00763C34" w:rsidRPr="00FC0F40">
        <w:rPr>
          <w:bCs/>
          <w:lang w:val="it-IT"/>
        </w:rPr>
        <w:t>określenie</w:t>
      </w:r>
      <w:r w:rsidR="005E5931" w:rsidRPr="00FC0F40">
        <w:rPr>
          <w:bCs/>
          <w:lang w:val="it-IT"/>
        </w:rPr>
        <w:t xml:space="preserve"> nie szkodzi </w:t>
      </w:r>
      <w:r w:rsidR="00FD4D65" w:rsidRPr="00FC0F40">
        <w:rPr>
          <w:bCs/>
          <w:lang w:val="it-IT"/>
        </w:rPr>
        <w:t>[</w:t>
      </w:r>
      <w:r w:rsidR="005E5931" w:rsidRPr="00FC0F40">
        <w:rPr>
          <w:bCs/>
          <w:lang w:val="it-IT"/>
        </w:rPr>
        <w:t>ani legatariuszowi ani fideikomisariuszowi, ani ustanowionemu dziedzicem</w:t>
      </w:r>
      <w:r w:rsidR="00FD4D65" w:rsidRPr="00FC0F40">
        <w:rPr>
          <w:bCs/>
          <w:lang w:val="it-IT"/>
        </w:rPr>
        <w:t>]</w:t>
      </w:r>
      <w:r w:rsidR="00EF01F0" w:rsidRPr="00FC0F40">
        <w:rPr>
          <w:bCs/>
          <w:lang w:val="it-IT"/>
        </w:rPr>
        <w:t>.</w:t>
      </w:r>
    </w:p>
    <w:p w14:paraId="3D09CCB1" w14:textId="77777777" w:rsidR="001714D5" w:rsidRPr="0054086B" w:rsidRDefault="001714D5" w:rsidP="001714D5"/>
    <w:p w14:paraId="019F672F" w14:textId="77777777" w:rsidR="00AB3F02" w:rsidRPr="0054086B" w:rsidRDefault="00AB3F02" w:rsidP="001714D5"/>
    <w:p w14:paraId="2D776375" w14:textId="03251F71" w:rsidR="001714D5" w:rsidRPr="0054086B" w:rsidRDefault="00CD1B99" w:rsidP="001714D5">
      <w:pPr>
        <w:rPr>
          <w:b/>
          <w:bCs/>
        </w:rPr>
      </w:pPr>
      <w:r w:rsidRPr="0054086B">
        <w:rPr>
          <w:b/>
          <w:bCs/>
        </w:rPr>
        <w:t>I</w:t>
      </w:r>
      <w:r w:rsidR="001714D5" w:rsidRPr="0054086B">
        <w:rPr>
          <w:b/>
          <w:bCs/>
        </w:rPr>
        <w:t>V. Kazus:</w:t>
      </w:r>
    </w:p>
    <w:p w14:paraId="2A07E7B7" w14:textId="77777777" w:rsidR="001714D5" w:rsidRPr="0054086B" w:rsidRDefault="001714D5" w:rsidP="001714D5">
      <w:pPr>
        <w:rPr>
          <w:color w:val="000000"/>
        </w:rPr>
      </w:pPr>
    </w:p>
    <w:p w14:paraId="787FBA3D" w14:textId="740440BA" w:rsidR="007F2264" w:rsidRPr="0054086B" w:rsidRDefault="0084667F" w:rsidP="00DA04AA">
      <w:pPr>
        <w:jc w:val="both"/>
        <w:rPr>
          <w:lang w:val="en-US"/>
        </w:rPr>
      </w:pPr>
      <w:r w:rsidRPr="0054086B">
        <w:t xml:space="preserve">D. </w:t>
      </w:r>
      <w:r w:rsidR="00546BD7" w:rsidRPr="0054086B">
        <w:t>32</w:t>
      </w:r>
      <w:r w:rsidR="00AF7E90" w:rsidRPr="0054086B">
        <w:t>,</w:t>
      </w:r>
      <w:r w:rsidR="00546BD7" w:rsidRPr="0054086B">
        <w:t>100</w:t>
      </w:r>
      <w:r w:rsidR="00AF7E90" w:rsidRPr="0054086B">
        <w:t>,</w:t>
      </w:r>
      <w:r w:rsidR="00546BD7" w:rsidRPr="0054086B">
        <w:t xml:space="preserve">2 (Iavolenus </w:t>
      </w:r>
      <w:r w:rsidR="00546BD7" w:rsidRPr="0054086B">
        <w:rPr>
          <w:i/>
          <w:iCs/>
        </w:rPr>
        <w:t>libro secondo ex Posterioribus Labeonis</w:t>
      </w:r>
      <w:r w:rsidR="00546BD7" w:rsidRPr="0054086B">
        <w:t>):</w:t>
      </w:r>
      <w:r w:rsidR="007F2264" w:rsidRPr="0054086B">
        <w:rPr>
          <w:rStyle w:val="Pogrubienie"/>
          <w:color w:val="000000"/>
        </w:rPr>
        <w:t xml:space="preserve"> </w:t>
      </w:r>
      <w:r w:rsidR="007F2264" w:rsidRPr="0054086B">
        <w:rPr>
          <w:color w:val="000000"/>
        </w:rPr>
        <w:t>"</w:t>
      </w:r>
      <w:r w:rsidR="007F2264" w:rsidRPr="0054086B">
        <w:rPr>
          <w:i/>
          <w:iCs/>
          <w:color w:val="000000"/>
        </w:rPr>
        <w:t xml:space="preserve">Uxori meae vestem, mundum muliebrem, ornamenta omnia, aurum argentum quod eius causa factum paratumque esset omne do lego". </w:t>
      </w:r>
      <w:r w:rsidR="007F2264" w:rsidRPr="0054086B">
        <w:rPr>
          <w:i/>
          <w:iCs/>
          <w:color w:val="000000"/>
          <w:lang w:val="en-US"/>
        </w:rPr>
        <w:t>Trebatius haec verba "quod eius causa factum paratumque est", ad aurum et argentum dumtaxat referri putat, Proculus ad omnia, quod et verum est.</w:t>
      </w:r>
    </w:p>
    <w:p w14:paraId="1418CD63" w14:textId="5718B16B" w:rsidR="0084667F" w:rsidRPr="0054086B" w:rsidRDefault="0084667F" w:rsidP="00546BD7">
      <w:pPr>
        <w:jc w:val="both"/>
        <w:rPr>
          <w:lang w:val="en-US"/>
        </w:rPr>
      </w:pPr>
    </w:p>
    <w:p w14:paraId="364D6C5B" w14:textId="21F9A09D" w:rsidR="00546BD7" w:rsidRPr="0054086B" w:rsidRDefault="00546BD7" w:rsidP="00546BD7">
      <w:pPr>
        <w:jc w:val="both"/>
      </w:pPr>
      <w:r w:rsidRPr="0054086B">
        <w:t xml:space="preserve">Jawolenus w księdze drugiej z Pośmiertnych Prac Labeona: </w:t>
      </w:r>
      <w:r w:rsidR="00AE1C5E" w:rsidRPr="0054086B">
        <w:t>„</w:t>
      </w:r>
      <w:r w:rsidRPr="0054086B">
        <w:t xml:space="preserve">Żonie </w:t>
      </w:r>
      <w:r w:rsidR="00DD11E8" w:rsidRPr="0054086B">
        <w:t>mojej, ubranie</w:t>
      </w:r>
      <w:r w:rsidRPr="0054086B">
        <w:t xml:space="preserve">, </w:t>
      </w:r>
      <w:r w:rsidR="000C64E5" w:rsidRPr="0054086B">
        <w:t xml:space="preserve">kosmetyki damskie, </w:t>
      </w:r>
      <w:r w:rsidR="009F766C">
        <w:t>wszelkie ozdoby, całe złoto i srebro</w:t>
      </w:r>
      <w:r w:rsidR="000C64E5" w:rsidRPr="0054086B">
        <w:t>, które był</w:t>
      </w:r>
      <w:r w:rsidR="009F766C">
        <w:t>o</w:t>
      </w:r>
      <w:r w:rsidR="000C64E5" w:rsidRPr="0054086B">
        <w:t xml:space="preserve"> </w:t>
      </w:r>
      <w:r w:rsidR="009F766C">
        <w:t>wykonane</w:t>
      </w:r>
      <w:r w:rsidR="000C64E5" w:rsidRPr="0054086B">
        <w:t xml:space="preserve"> lub nabyte dla niej, daj</w:t>
      </w:r>
      <w:r w:rsidR="00AC3631" w:rsidRPr="0054086B">
        <w:t>ę</w:t>
      </w:r>
      <w:r w:rsidR="000C64E5" w:rsidRPr="0054086B">
        <w:t xml:space="preserve"> zapisuj</w:t>
      </w:r>
      <w:r w:rsidR="00AC3631" w:rsidRPr="0054086B">
        <w:t>ę</w:t>
      </w:r>
      <w:r w:rsidR="000C64E5" w:rsidRPr="0054086B">
        <w:t xml:space="preserve">. </w:t>
      </w:r>
      <w:r w:rsidR="00AE1C5E" w:rsidRPr="0054086B">
        <w:t>Tre</w:t>
      </w:r>
      <w:r w:rsidR="000C64E5" w:rsidRPr="0054086B">
        <w:t xml:space="preserve">batius </w:t>
      </w:r>
      <w:r w:rsidR="007F2264" w:rsidRPr="0054086B">
        <w:t>uzna</w:t>
      </w:r>
      <w:r w:rsidR="00DA04AA">
        <w:t>je</w:t>
      </w:r>
      <w:r w:rsidR="007F2264" w:rsidRPr="0054086B">
        <w:t xml:space="preserve">, że </w:t>
      </w:r>
      <w:r w:rsidR="000C64E5" w:rsidRPr="0054086B">
        <w:t xml:space="preserve">te słowa </w:t>
      </w:r>
      <w:r w:rsidR="007F2264" w:rsidRPr="0054086B">
        <w:t>„</w:t>
      </w:r>
      <w:r w:rsidR="00763C34" w:rsidRPr="0054086B">
        <w:t>które był</w:t>
      </w:r>
      <w:r w:rsidR="00763C34">
        <w:t>o</w:t>
      </w:r>
      <w:r w:rsidR="00763C34" w:rsidRPr="0054086B">
        <w:t xml:space="preserve"> </w:t>
      </w:r>
      <w:r w:rsidR="00763C34">
        <w:t>wykonane</w:t>
      </w:r>
      <w:r w:rsidR="00763C34" w:rsidRPr="0054086B">
        <w:t xml:space="preserve"> lub nabyte dla niej</w:t>
      </w:r>
      <w:r w:rsidR="007F2264" w:rsidRPr="0054086B">
        <w:t xml:space="preserve">” </w:t>
      </w:r>
      <w:r w:rsidR="00AC3631" w:rsidRPr="0054086B">
        <w:t>(</w:t>
      </w:r>
      <w:r w:rsidR="00AC3631" w:rsidRPr="0054086B">
        <w:rPr>
          <w:i/>
          <w:iCs/>
          <w:color w:val="000000"/>
        </w:rPr>
        <w:t>quod eius causa factum paratumque est</w:t>
      </w:r>
      <w:r w:rsidR="00AC3631" w:rsidRPr="0054086B">
        <w:rPr>
          <w:color w:val="000000"/>
        </w:rPr>
        <w:t>)</w:t>
      </w:r>
      <w:r w:rsidR="00AC3631" w:rsidRPr="0054086B">
        <w:rPr>
          <w:i/>
          <w:iCs/>
          <w:color w:val="000000"/>
        </w:rPr>
        <w:t xml:space="preserve"> </w:t>
      </w:r>
      <w:r w:rsidR="007F2264" w:rsidRPr="0054086B">
        <w:t>o</w:t>
      </w:r>
      <w:r w:rsidR="009F766C">
        <w:t>dnoszą</w:t>
      </w:r>
      <w:r w:rsidR="007F2264" w:rsidRPr="0054086B">
        <w:t xml:space="preserve"> się tylko do złota i srebra</w:t>
      </w:r>
      <w:r w:rsidR="000C64E5" w:rsidRPr="0054086B">
        <w:t xml:space="preserve">; </w:t>
      </w:r>
      <w:r w:rsidR="00086B89" w:rsidRPr="0054086B">
        <w:t>Proculus [</w:t>
      </w:r>
      <w:r w:rsidR="000C64E5" w:rsidRPr="0054086B">
        <w:t>sądzi, że odnoszą się one</w:t>
      </w:r>
      <w:r w:rsidR="007F2264" w:rsidRPr="0054086B">
        <w:t>]</w:t>
      </w:r>
      <w:r w:rsidR="000C64E5" w:rsidRPr="0054086B">
        <w:t xml:space="preserve"> do wszystkiego, </w:t>
      </w:r>
      <w:r w:rsidR="00763C34">
        <w:t>i to jest słuszne</w:t>
      </w:r>
      <w:r w:rsidR="000C64E5" w:rsidRPr="0054086B">
        <w:t>.</w:t>
      </w:r>
    </w:p>
    <w:p w14:paraId="4A4B7F29" w14:textId="4D5A35BD" w:rsidR="00CD1B99" w:rsidRPr="0054086B" w:rsidRDefault="00CD1B99" w:rsidP="00546BD7">
      <w:pPr>
        <w:jc w:val="both"/>
      </w:pPr>
    </w:p>
    <w:p w14:paraId="7817FDED" w14:textId="77777777" w:rsidR="00CD1B99" w:rsidRPr="0054086B" w:rsidRDefault="00CD1B99" w:rsidP="00CD1B99">
      <w:pPr>
        <w:jc w:val="both"/>
        <w:rPr>
          <w:b/>
          <w:bCs/>
          <w:color w:val="222222"/>
          <w:shd w:val="clear" w:color="auto" w:fill="FFFFFF"/>
        </w:rPr>
      </w:pPr>
      <w:r w:rsidRPr="0054086B">
        <w:rPr>
          <w:b/>
          <w:bCs/>
          <w:color w:val="222222"/>
          <w:shd w:val="clear" w:color="auto" w:fill="FFFFFF"/>
        </w:rPr>
        <w:t>Schemat interpretacji tekstu źródłowego</w:t>
      </w:r>
    </w:p>
    <w:p w14:paraId="4B7560B6" w14:textId="77777777" w:rsidR="00CD1B99" w:rsidRPr="0054086B" w:rsidRDefault="00CD1B99" w:rsidP="00CD1B99">
      <w:pPr>
        <w:jc w:val="both"/>
        <w:rPr>
          <w:b/>
          <w:bCs/>
          <w:color w:val="222222"/>
          <w:shd w:val="clear" w:color="auto" w:fill="FFFFFF"/>
        </w:rPr>
      </w:pPr>
    </w:p>
    <w:p w14:paraId="710C0A72" w14:textId="77777777" w:rsidR="00CD1B99" w:rsidRPr="0054086B" w:rsidRDefault="00CD1B99" w:rsidP="00CD1B99">
      <w:pPr>
        <w:jc w:val="both"/>
        <w:rPr>
          <w:color w:val="222222"/>
          <w:shd w:val="clear" w:color="auto" w:fill="FFFFFF"/>
        </w:rPr>
      </w:pPr>
      <w:r w:rsidRPr="0054086B">
        <w:rPr>
          <w:color w:val="222222"/>
          <w:shd w:val="clear" w:color="auto" w:fill="FFFFFF"/>
        </w:rPr>
        <w:t xml:space="preserve">Do interpretacji tekstu </w:t>
      </w:r>
      <w:r w:rsidRPr="0054086B">
        <w:rPr>
          <w:b/>
          <w:bCs/>
          <w:color w:val="222222"/>
          <w:shd w:val="clear" w:color="auto" w:fill="FFFFFF"/>
        </w:rPr>
        <w:t>niezbędne są materiały pomocnicze</w:t>
      </w:r>
      <w:r w:rsidRPr="0054086B">
        <w:rPr>
          <w:color w:val="222222"/>
          <w:shd w:val="clear" w:color="auto" w:fill="FFFFFF"/>
        </w:rPr>
        <w:t xml:space="preserve"> zamieszczone na stronie internetowej Zakładu Prawa Rzymskiego.</w:t>
      </w:r>
    </w:p>
    <w:p w14:paraId="75F99991" w14:textId="77777777" w:rsidR="00CD1B99" w:rsidRPr="0054086B" w:rsidRDefault="00CD1B99" w:rsidP="00CD1B99">
      <w:pPr>
        <w:jc w:val="both"/>
        <w:rPr>
          <w:color w:val="222222"/>
          <w:shd w:val="clear" w:color="auto" w:fill="FFFFFF"/>
        </w:rPr>
      </w:pPr>
    </w:p>
    <w:p w14:paraId="03854E15" w14:textId="77777777" w:rsidR="00CD1B99" w:rsidRPr="0054086B" w:rsidRDefault="00CD1B99" w:rsidP="00CD1B99">
      <w:pPr>
        <w:jc w:val="both"/>
        <w:rPr>
          <w:color w:val="222222"/>
          <w:shd w:val="clear" w:color="auto" w:fill="FFFFFF"/>
        </w:rPr>
      </w:pPr>
      <w:r w:rsidRPr="0054086B">
        <w:rPr>
          <w:color w:val="222222"/>
          <w:shd w:val="clear" w:color="auto" w:fill="FFFFFF"/>
        </w:rPr>
        <w:t>Interpretacji tekstu źródłowego dokonujemy w oparciu o przedstawiony niżej schemat. Schemat odnosi się do kontekstu źródłowego oraz elementów ważnych w pracy prawnika: ustalenie stanu faktycznego, ustalenie stanu prawnego, ważenie interesów i wartości, rozstrzygnięcie oraz jego uzasadnienie.</w:t>
      </w:r>
    </w:p>
    <w:p w14:paraId="2C113F97" w14:textId="77777777" w:rsidR="00CD1B99" w:rsidRPr="0054086B" w:rsidRDefault="00CD1B99" w:rsidP="00CD1B99">
      <w:pPr>
        <w:jc w:val="both"/>
        <w:rPr>
          <w:color w:val="222222"/>
          <w:shd w:val="clear" w:color="auto" w:fill="FFFFFF"/>
        </w:rPr>
      </w:pPr>
    </w:p>
    <w:p w14:paraId="0C262BBD" w14:textId="00936CCC" w:rsidR="00CD1B99" w:rsidRPr="00763C34" w:rsidRDefault="00CD1B99" w:rsidP="00CD1B99">
      <w:pPr>
        <w:jc w:val="both"/>
        <w:rPr>
          <w:color w:val="222222"/>
          <w:shd w:val="clear" w:color="auto" w:fill="FFFFFF"/>
        </w:rPr>
      </w:pPr>
      <w:r w:rsidRPr="0054086B">
        <w:rPr>
          <w:color w:val="222222"/>
          <w:shd w:val="clear" w:color="auto" w:fill="FFFFFF"/>
        </w:rPr>
        <w:t>Uwaga! Przy interpretacji tekstu na obecnych zajęciach, ze względu na jego charakter i początek pracy studenta nad tekstem, zwracamy uwagę na pierwszy element schematu, czyli na kontekst źródłowy tekstu.</w:t>
      </w:r>
    </w:p>
    <w:p w14:paraId="2F68B5EC" w14:textId="77777777" w:rsidR="00CD1B99" w:rsidRPr="0054086B" w:rsidRDefault="00CD1B99" w:rsidP="00CD1B99">
      <w:pPr>
        <w:jc w:val="both"/>
        <w:rPr>
          <w:b/>
          <w:bCs/>
          <w:color w:val="222222"/>
          <w:shd w:val="clear" w:color="auto" w:fill="FFFFFF"/>
        </w:rPr>
      </w:pPr>
    </w:p>
    <w:p w14:paraId="5F17E46B" w14:textId="77777777" w:rsidR="00CD1B99" w:rsidRPr="0054086B" w:rsidRDefault="00CD1B99" w:rsidP="00CD1B99">
      <w:pPr>
        <w:rPr>
          <w:color w:val="222222"/>
          <w:shd w:val="clear" w:color="auto" w:fill="FFFFFF"/>
        </w:rPr>
      </w:pPr>
      <w:r w:rsidRPr="0054086B">
        <w:rPr>
          <w:color w:val="222222"/>
          <w:shd w:val="clear" w:color="auto" w:fill="FFFFFF"/>
        </w:rPr>
        <w:t>1)</w:t>
      </w:r>
      <w:r w:rsidRPr="0054086B">
        <w:rPr>
          <w:color w:val="222222"/>
          <w:shd w:val="clear" w:color="auto" w:fill="FFFFFF"/>
        </w:rPr>
        <w:tab/>
        <w:t xml:space="preserve">Kontekst źródłowy. Określenie miejsca tekstu w dyskusji prawników rzymskich (miejsce w tekście źródłowym oraz informacja podana w </w:t>
      </w:r>
      <w:r w:rsidRPr="0054086B">
        <w:rPr>
          <w:i/>
          <w:iCs/>
          <w:color w:val="222222"/>
          <w:shd w:val="clear" w:color="auto" w:fill="FFFFFF"/>
        </w:rPr>
        <w:t xml:space="preserve">inscriptio </w:t>
      </w:r>
      <w:r w:rsidRPr="0054086B">
        <w:rPr>
          <w:color w:val="222222"/>
          <w:shd w:val="clear" w:color="auto" w:fill="FFFFFF"/>
        </w:rPr>
        <w:t>plus informacje o jurystach – niekiedy informacje w tekście).</w:t>
      </w:r>
    </w:p>
    <w:p w14:paraId="32A2B3DD" w14:textId="77777777" w:rsidR="00CD1B99" w:rsidRPr="0054086B" w:rsidRDefault="00CD1B99" w:rsidP="00CD1B99">
      <w:pPr>
        <w:rPr>
          <w:color w:val="222222"/>
          <w:shd w:val="clear" w:color="auto" w:fill="FFFFFF"/>
        </w:rPr>
      </w:pPr>
      <w:r w:rsidRPr="0054086B">
        <w:rPr>
          <w:color w:val="222222"/>
          <w:shd w:val="clear" w:color="auto" w:fill="FFFFFF"/>
        </w:rPr>
        <w:t>2)</w:t>
      </w:r>
      <w:r w:rsidRPr="0054086B">
        <w:rPr>
          <w:color w:val="222222"/>
          <w:shd w:val="clear" w:color="auto" w:fill="FFFFFF"/>
        </w:rPr>
        <w:tab/>
        <w:t>Rekonstrukcja omawianego w tekście stanu faktycznego (rzeczywisty lub hipotetyczny stan faktyczny).</w:t>
      </w:r>
    </w:p>
    <w:p w14:paraId="26DAFAB5" w14:textId="77777777" w:rsidR="00CD1B99" w:rsidRPr="0054086B" w:rsidRDefault="00CD1B99" w:rsidP="00CD1B99">
      <w:pPr>
        <w:rPr>
          <w:color w:val="222222"/>
          <w:shd w:val="clear" w:color="auto" w:fill="FFFFFF"/>
        </w:rPr>
      </w:pPr>
      <w:r w:rsidRPr="0054086B">
        <w:rPr>
          <w:color w:val="222222"/>
          <w:shd w:val="clear" w:color="auto" w:fill="FFFFFF"/>
        </w:rPr>
        <w:t>3)</w:t>
      </w:r>
      <w:r w:rsidRPr="0054086B">
        <w:rPr>
          <w:color w:val="222222"/>
          <w:shd w:val="clear" w:color="auto" w:fill="FFFFFF"/>
        </w:rPr>
        <w:tab/>
        <w:t>Wskazanie problemu prawnego będącego przedmiotem oceny (kwestia niejasna, dyskusyjna).</w:t>
      </w:r>
    </w:p>
    <w:p w14:paraId="39D0A7EE" w14:textId="77777777" w:rsidR="00CD1B99" w:rsidRPr="0054086B" w:rsidRDefault="00CD1B99" w:rsidP="00CD1B99">
      <w:pPr>
        <w:rPr>
          <w:color w:val="222222"/>
          <w:shd w:val="clear" w:color="auto" w:fill="FFFFFF"/>
        </w:rPr>
      </w:pPr>
      <w:r w:rsidRPr="0054086B">
        <w:rPr>
          <w:color w:val="222222"/>
          <w:shd w:val="clear" w:color="auto" w:fill="FFFFFF"/>
        </w:rPr>
        <w:t>4)</w:t>
      </w:r>
      <w:r w:rsidRPr="0054086B">
        <w:rPr>
          <w:color w:val="222222"/>
          <w:shd w:val="clear" w:color="auto" w:fill="FFFFFF"/>
        </w:rPr>
        <w:tab/>
        <w:t>Nazwanie zasad rozstrzygnięcia (</w:t>
      </w:r>
      <w:r w:rsidRPr="0054086B">
        <w:rPr>
          <w:i/>
          <w:iCs/>
          <w:color w:val="222222"/>
          <w:shd w:val="clear" w:color="auto" w:fill="FFFFFF"/>
        </w:rPr>
        <w:t>rationes decidendi</w:t>
      </w:r>
      <w:r w:rsidRPr="0054086B">
        <w:rPr>
          <w:color w:val="222222"/>
          <w:shd w:val="clear" w:color="auto" w:fill="FFFFFF"/>
        </w:rPr>
        <w:t>) przyjętych przez jurystów oraz ich ocena plus znaczenie oraz wykorzystanie w tradycji romanistycznej.</w:t>
      </w:r>
    </w:p>
    <w:p w14:paraId="14C71574" w14:textId="77777777" w:rsidR="00CD1B99" w:rsidRPr="0054086B" w:rsidRDefault="00CD1B99" w:rsidP="00CD1B99">
      <w:pPr>
        <w:jc w:val="both"/>
        <w:rPr>
          <w:b/>
          <w:bCs/>
          <w:color w:val="222222"/>
          <w:shd w:val="clear" w:color="auto" w:fill="FFFFFF"/>
        </w:rPr>
      </w:pPr>
    </w:p>
    <w:p w14:paraId="348EBB43" w14:textId="77777777" w:rsidR="00CD1B99" w:rsidRPr="0054086B" w:rsidRDefault="00CD1B99" w:rsidP="00CD1B99">
      <w:pPr>
        <w:jc w:val="both"/>
        <w:rPr>
          <w:color w:val="222222"/>
          <w:shd w:val="clear" w:color="auto" w:fill="FFFFFF"/>
        </w:rPr>
      </w:pPr>
      <w:r w:rsidRPr="0054086B">
        <w:rPr>
          <w:color w:val="222222"/>
          <w:shd w:val="clear" w:color="auto" w:fill="FFFFFF"/>
        </w:rPr>
        <w:t xml:space="preserve">Ad. 1 Kontekst źródłowy - polega na podaniu podstawowych informacji o Digestach justyniańskich (skrót D. od </w:t>
      </w:r>
      <w:r w:rsidRPr="0054086B">
        <w:rPr>
          <w:i/>
          <w:color w:val="222222"/>
          <w:shd w:val="clear" w:color="auto" w:fill="FFFFFF"/>
        </w:rPr>
        <w:t>Digesta Iustiniani</w:t>
      </w:r>
      <w:r w:rsidRPr="0054086B">
        <w:rPr>
          <w:iCs/>
          <w:color w:val="222222"/>
          <w:shd w:val="clear" w:color="auto" w:fill="FFFFFF"/>
        </w:rPr>
        <w:t>)</w:t>
      </w:r>
      <w:r w:rsidRPr="0054086B">
        <w:rPr>
          <w:color w:val="222222"/>
          <w:shd w:val="clear" w:color="auto" w:fill="FFFFFF"/>
        </w:rPr>
        <w:t xml:space="preserve"> z 533 r. w tym także w kontekście znaczenia tego dzieła w historii prawa. Należy wskazać dane dotyczące jurysty, który widnieje jako autor cytowanego fragmentu. Jeżeli w tekście przywoływane są opinie innych jurystów, należy przedstawić podstawowe informacje dotyczące ich życia i działalności prawniczej. Ponadto należy wyprowadzić wnioski wynikające z miejsca zamieszczenia tekstu w Digestach justyniańskich (każdy akt prawny ma swoją systematykę; Digesta justyniańskie dzielą się na księgi, te z kolei na tytuły, fragmenty i paragrafy). Podać należy informacje dotyczące oryginalnego źródła, z którego fragment został zaczerpnięty (Digesta justyniańskie zawierają fragmenty dzieł prawników rzymskich powstałych w okresie od I w. p.n.e. do III w. n.e.; w tym przypadku chodzi o </w:t>
      </w:r>
      <w:r w:rsidRPr="0054086B">
        <w:rPr>
          <w:i/>
          <w:iCs/>
          <w:color w:val="222222"/>
          <w:shd w:val="clear" w:color="auto" w:fill="FFFFFF"/>
        </w:rPr>
        <w:t>Digesta</w:t>
      </w:r>
      <w:r w:rsidRPr="0054086B">
        <w:rPr>
          <w:color w:val="222222"/>
          <w:shd w:val="clear" w:color="auto" w:fill="FFFFFF"/>
        </w:rPr>
        <w:t xml:space="preserve"> autorstwa jurysty Celsusa, żyjącego na przełomie I i II w. n.e.).; Po podaniu tych elementów, dokonujemy analizy treści danego fragmentu.</w:t>
      </w:r>
    </w:p>
    <w:p w14:paraId="62B2D50D" w14:textId="084D49C4" w:rsidR="00CD1B99" w:rsidRPr="0054086B" w:rsidRDefault="00CD1B99" w:rsidP="00CD1B99">
      <w:pPr>
        <w:jc w:val="both"/>
        <w:rPr>
          <w:color w:val="222222"/>
          <w:shd w:val="clear" w:color="auto" w:fill="FFFFFF"/>
        </w:rPr>
      </w:pPr>
      <w:r w:rsidRPr="0054086B">
        <w:rPr>
          <w:color w:val="222222"/>
          <w:shd w:val="clear" w:color="auto" w:fill="FFFFFF"/>
        </w:rPr>
        <w:t xml:space="preserve">Interesują nas warunki w jakich tekst powstał, </w:t>
      </w:r>
      <w:r w:rsidR="003B6821" w:rsidRPr="0054086B">
        <w:rPr>
          <w:color w:val="222222"/>
          <w:shd w:val="clear" w:color="auto" w:fill="FFFFFF"/>
        </w:rPr>
        <w:t>tj.,</w:t>
      </w:r>
      <w:r w:rsidRPr="0054086B">
        <w:rPr>
          <w:color w:val="222222"/>
          <w:shd w:val="clear" w:color="auto" w:fill="FFFFFF"/>
        </w:rPr>
        <w:t xml:space="preserve"> kiedy</w:t>
      </w:r>
      <w:r w:rsidR="003B6821">
        <w:rPr>
          <w:color w:val="222222"/>
          <w:shd w:val="clear" w:color="auto" w:fill="FFFFFF"/>
        </w:rPr>
        <w:t>,</w:t>
      </w:r>
      <w:r w:rsidRPr="0054086B">
        <w:rPr>
          <w:color w:val="222222"/>
          <w:shd w:val="clear" w:color="auto" w:fill="FFFFFF"/>
        </w:rPr>
        <w:t xml:space="preserve"> w jakich warunkach społecznych, ekonomicznych, kulturowych, wpływ czynników zewnętrznych na jurystów, np. wpływ nauki greckiej: retoryki, gramatyki, filozofii.</w:t>
      </w:r>
    </w:p>
    <w:p w14:paraId="01A43A27" w14:textId="77777777" w:rsidR="00CD1B99" w:rsidRPr="0054086B" w:rsidRDefault="00CD1B99" w:rsidP="00CD1B99">
      <w:pPr>
        <w:jc w:val="both"/>
        <w:rPr>
          <w:color w:val="222222"/>
          <w:shd w:val="clear" w:color="auto" w:fill="FFFFFF"/>
        </w:rPr>
      </w:pPr>
    </w:p>
    <w:p w14:paraId="1457A943" w14:textId="5ED6AEAC" w:rsidR="00CD1B99" w:rsidRPr="0054086B" w:rsidRDefault="00CD1B99" w:rsidP="00CD1B99">
      <w:pPr>
        <w:jc w:val="both"/>
        <w:rPr>
          <w:color w:val="222222"/>
          <w:shd w:val="clear" w:color="auto" w:fill="FFFFFF"/>
        </w:rPr>
      </w:pPr>
      <w:r w:rsidRPr="0054086B">
        <w:rPr>
          <w:color w:val="222222"/>
          <w:shd w:val="clear" w:color="auto" w:fill="FFFFFF"/>
        </w:rPr>
        <w:t xml:space="preserve">Wskazówką są informacje o jurystach, kiedy </w:t>
      </w:r>
      <w:r w:rsidR="003B6821" w:rsidRPr="0054086B">
        <w:rPr>
          <w:color w:val="222222"/>
          <w:shd w:val="clear" w:color="auto" w:fill="FFFFFF"/>
        </w:rPr>
        <w:t>żyli</w:t>
      </w:r>
      <w:r w:rsidRPr="0054086B">
        <w:rPr>
          <w:color w:val="222222"/>
          <w:shd w:val="clear" w:color="auto" w:fill="FFFFFF"/>
        </w:rPr>
        <w:t xml:space="preserve"> czy należeli do „szkoły” Sabinianów czy Prokulianów, czy to jest wypowiedź jurysty odnosząca się do tekstu ustawy, uchwały senatu, edyktu pretorskiego? – pytanie o prawotwórczy charakter opinii i jej relację do źródła prawa; czy jurysta wyposażony był w </w:t>
      </w:r>
      <w:r w:rsidRPr="0054086B">
        <w:rPr>
          <w:i/>
          <w:iCs/>
          <w:color w:val="222222"/>
          <w:shd w:val="clear" w:color="auto" w:fill="FFFFFF"/>
        </w:rPr>
        <w:t>ius publicae respondendi</w:t>
      </w:r>
      <w:r w:rsidRPr="0054086B">
        <w:rPr>
          <w:color w:val="222222"/>
          <w:shd w:val="clear" w:color="auto" w:fill="FFFFFF"/>
        </w:rPr>
        <w:t>. Jeśli w tekście przywołane są opinie innych jurystów, czy są odmienne, czy jurysta „przystępuje” do opinii starszego kolegi? Jeśli są odmienne, to dlaczego, czy możemy ten odmienny pogląd uznać za ciekawy/przekonujący?</w:t>
      </w:r>
    </w:p>
    <w:p w14:paraId="02052093" w14:textId="77777777" w:rsidR="00CD1B99" w:rsidRPr="0054086B" w:rsidRDefault="00CD1B99" w:rsidP="00CD1B99">
      <w:pPr>
        <w:jc w:val="both"/>
        <w:rPr>
          <w:color w:val="222222"/>
          <w:shd w:val="clear" w:color="auto" w:fill="FFFFFF"/>
        </w:rPr>
      </w:pPr>
    </w:p>
    <w:p w14:paraId="19BF4CFB" w14:textId="77777777" w:rsidR="00CD1B99" w:rsidRPr="0054086B" w:rsidRDefault="00CD1B99" w:rsidP="00CD1B99">
      <w:pPr>
        <w:autoSpaceDE w:val="0"/>
        <w:autoSpaceDN w:val="0"/>
        <w:adjustRightInd w:val="0"/>
        <w:jc w:val="both"/>
      </w:pPr>
      <w:r w:rsidRPr="0054086B">
        <w:t>Ad. 2 Opinię prawną sporządzamy w stosunku do ustalonego stanu faktycznego. Ustaleń stanu faktycznego dokonuje się w wyniku analizy dostępnego materiału dowodowego.</w:t>
      </w:r>
    </w:p>
    <w:p w14:paraId="5AF90367" w14:textId="77777777" w:rsidR="00CD1B99" w:rsidRPr="0054086B" w:rsidRDefault="00CD1B99" w:rsidP="00CD1B99">
      <w:pPr>
        <w:autoSpaceDE w:val="0"/>
        <w:autoSpaceDN w:val="0"/>
        <w:adjustRightInd w:val="0"/>
        <w:jc w:val="both"/>
      </w:pPr>
    </w:p>
    <w:p w14:paraId="1E0460D2" w14:textId="77777777" w:rsidR="00CD1B99" w:rsidRPr="0054086B" w:rsidRDefault="00CD1B99" w:rsidP="00CD1B99">
      <w:pPr>
        <w:autoSpaceDE w:val="0"/>
        <w:autoSpaceDN w:val="0"/>
        <w:adjustRightInd w:val="0"/>
        <w:jc w:val="both"/>
      </w:pPr>
      <w:r w:rsidRPr="0054086B">
        <w:t>Chodzi o kwestię faktów (</w:t>
      </w:r>
      <w:r w:rsidRPr="0054086B">
        <w:rPr>
          <w:i/>
          <w:iCs/>
        </w:rPr>
        <w:t>quaestio facti</w:t>
      </w:r>
      <w:r w:rsidRPr="0054086B">
        <w:t xml:space="preserve">): co się wydarzyło, np. </w:t>
      </w:r>
      <w:r w:rsidRPr="0054086B">
        <w:rPr>
          <w:i/>
          <w:iCs/>
        </w:rPr>
        <w:t>niewolnik wszedł na plac ćwiczeń i został ugodzony oszczepem</w:t>
      </w:r>
      <w:r w:rsidRPr="0054086B">
        <w:t xml:space="preserve">. Albo: </w:t>
      </w:r>
      <w:r w:rsidRPr="0054086B">
        <w:rPr>
          <w:i/>
          <w:iCs/>
        </w:rPr>
        <w:t>pewien Rzymianin przekazał buty do naprawy szewcowi za wynagrodzeniem. Buty zostały skradzione z warsztatu szewca.</w:t>
      </w:r>
    </w:p>
    <w:p w14:paraId="290324B8" w14:textId="77777777" w:rsidR="00CD1B99" w:rsidRPr="0054086B" w:rsidRDefault="00CD1B99" w:rsidP="00CD1B99">
      <w:pPr>
        <w:autoSpaceDE w:val="0"/>
        <w:autoSpaceDN w:val="0"/>
        <w:adjustRightInd w:val="0"/>
        <w:jc w:val="both"/>
      </w:pPr>
    </w:p>
    <w:p w14:paraId="78A464CE" w14:textId="77777777" w:rsidR="00CD1B99" w:rsidRPr="0054086B" w:rsidRDefault="00CD1B99" w:rsidP="00CD1B99">
      <w:pPr>
        <w:autoSpaceDE w:val="0"/>
        <w:autoSpaceDN w:val="0"/>
        <w:adjustRightInd w:val="0"/>
        <w:jc w:val="both"/>
      </w:pPr>
      <w:r w:rsidRPr="0054086B">
        <w:t>Można spróbować, jeśli będzie to pomocne, zrekonstruować szerszy stan faktyczny.</w:t>
      </w:r>
    </w:p>
    <w:p w14:paraId="55BC3B5B" w14:textId="77777777" w:rsidR="00CD1B99" w:rsidRPr="0054086B" w:rsidRDefault="00CD1B99" w:rsidP="00CD1B99">
      <w:pPr>
        <w:autoSpaceDE w:val="0"/>
        <w:autoSpaceDN w:val="0"/>
        <w:adjustRightInd w:val="0"/>
        <w:jc w:val="both"/>
      </w:pPr>
    </w:p>
    <w:p w14:paraId="313DEA1A" w14:textId="77777777" w:rsidR="00CD1B99" w:rsidRPr="0054086B" w:rsidRDefault="00CD1B99" w:rsidP="00CD1B99">
      <w:pPr>
        <w:autoSpaceDE w:val="0"/>
        <w:autoSpaceDN w:val="0"/>
        <w:adjustRightInd w:val="0"/>
        <w:jc w:val="both"/>
      </w:pPr>
      <w:r w:rsidRPr="0054086B">
        <w:t xml:space="preserve">Błędne w tej części jest wyjście poza </w:t>
      </w:r>
      <w:r w:rsidRPr="0054086B">
        <w:rPr>
          <w:i/>
          <w:iCs/>
        </w:rPr>
        <w:t>quaestio facti</w:t>
      </w:r>
      <w:r w:rsidRPr="0054086B">
        <w:t>. Można jedynie dodać, że nie wiemy, czy wydarzyło się to lub tamto; w tej części unikamy ocen prawnych.</w:t>
      </w:r>
    </w:p>
    <w:p w14:paraId="2F4AAB55" w14:textId="77777777" w:rsidR="00CD1B99" w:rsidRPr="0054086B" w:rsidRDefault="00CD1B99" w:rsidP="00CD1B99">
      <w:pPr>
        <w:autoSpaceDE w:val="0"/>
        <w:autoSpaceDN w:val="0"/>
        <w:adjustRightInd w:val="0"/>
        <w:jc w:val="both"/>
      </w:pPr>
    </w:p>
    <w:p w14:paraId="5E9BA515" w14:textId="77777777" w:rsidR="00CD1B99" w:rsidRPr="0054086B" w:rsidRDefault="00CD1B99" w:rsidP="00CD1B99">
      <w:pPr>
        <w:autoSpaceDE w:val="0"/>
        <w:autoSpaceDN w:val="0"/>
        <w:adjustRightInd w:val="0"/>
        <w:jc w:val="both"/>
      </w:pPr>
      <w:r w:rsidRPr="0054086B">
        <w:t>Ad. 3 W tej części odnosimy się do kwestii prawnych.</w:t>
      </w:r>
    </w:p>
    <w:p w14:paraId="1419023B" w14:textId="77777777" w:rsidR="00CD1B99" w:rsidRPr="0054086B" w:rsidRDefault="00CD1B99" w:rsidP="00CD1B99">
      <w:pPr>
        <w:autoSpaceDE w:val="0"/>
        <w:autoSpaceDN w:val="0"/>
        <w:adjustRightInd w:val="0"/>
        <w:jc w:val="both"/>
      </w:pPr>
    </w:p>
    <w:p w14:paraId="1E773E9E" w14:textId="77777777" w:rsidR="00CD1B99" w:rsidRPr="0054086B" w:rsidRDefault="00CD1B99" w:rsidP="00CD1B99">
      <w:pPr>
        <w:autoSpaceDE w:val="0"/>
        <w:autoSpaceDN w:val="0"/>
        <w:adjustRightInd w:val="0"/>
        <w:jc w:val="both"/>
      </w:pPr>
      <w:r w:rsidRPr="0054086B">
        <w:t>Można opisać wskazane instytucje prawne, których kazus dotyczy, zrelacjonować poglądy jurystów (także spoza kazusu), by rzucić nieco więcej światła na omawianą problematykę.</w:t>
      </w:r>
    </w:p>
    <w:p w14:paraId="5FA9FB2E" w14:textId="77777777" w:rsidR="00CD1B99" w:rsidRPr="0054086B" w:rsidRDefault="00CD1B99" w:rsidP="00CD1B99">
      <w:pPr>
        <w:autoSpaceDE w:val="0"/>
        <w:autoSpaceDN w:val="0"/>
        <w:adjustRightInd w:val="0"/>
        <w:jc w:val="both"/>
      </w:pPr>
    </w:p>
    <w:p w14:paraId="1715EE01" w14:textId="77777777" w:rsidR="00CD1B99" w:rsidRPr="0054086B" w:rsidRDefault="00CD1B99" w:rsidP="00CD1B99">
      <w:pPr>
        <w:autoSpaceDE w:val="0"/>
        <w:autoSpaceDN w:val="0"/>
        <w:adjustRightInd w:val="0"/>
        <w:jc w:val="both"/>
      </w:pPr>
      <w:r w:rsidRPr="0054086B">
        <w:t>Następnie opisujemy sposób narracji i rozumowania prawnika oraz podajemy rozstrzygnięcie kwestii spornej, które znajduje się w tekście.</w:t>
      </w:r>
    </w:p>
    <w:p w14:paraId="3F584B1E" w14:textId="77777777" w:rsidR="00CD1B99" w:rsidRPr="0054086B" w:rsidRDefault="00CD1B99" w:rsidP="00CD1B99">
      <w:pPr>
        <w:autoSpaceDE w:val="0"/>
        <w:autoSpaceDN w:val="0"/>
        <w:adjustRightInd w:val="0"/>
        <w:jc w:val="both"/>
      </w:pPr>
    </w:p>
    <w:p w14:paraId="3946A4ED" w14:textId="77777777" w:rsidR="00CD1B99" w:rsidRPr="0054086B" w:rsidRDefault="00CD1B99" w:rsidP="00CD1B99">
      <w:pPr>
        <w:autoSpaceDE w:val="0"/>
        <w:autoSpaceDN w:val="0"/>
        <w:adjustRightInd w:val="0"/>
        <w:jc w:val="both"/>
      </w:pPr>
      <w:r w:rsidRPr="0054086B">
        <w:t>Jeśli mamy kilka opinii, dobrze jest zatrzymać się nad każdą z nich i szukać argumentów na rzecz danego stanowiska.</w:t>
      </w:r>
    </w:p>
    <w:p w14:paraId="6631E892" w14:textId="77777777" w:rsidR="00CD1B99" w:rsidRPr="0054086B" w:rsidRDefault="00CD1B99" w:rsidP="00CD1B99">
      <w:pPr>
        <w:autoSpaceDE w:val="0"/>
        <w:autoSpaceDN w:val="0"/>
        <w:adjustRightInd w:val="0"/>
        <w:jc w:val="both"/>
        <w:rPr>
          <w:b/>
          <w:bCs/>
        </w:rPr>
      </w:pPr>
    </w:p>
    <w:p w14:paraId="23B40607" w14:textId="77777777" w:rsidR="00CD1B99" w:rsidRPr="0054086B" w:rsidRDefault="00CD1B99" w:rsidP="00CD1B99">
      <w:pPr>
        <w:autoSpaceDE w:val="0"/>
        <w:autoSpaceDN w:val="0"/>
        <w:adjustRightInd w:val="0"/>
        <w:jc w:val="both"/>
      </w:pPr>
      <w:r w:rsidRPr="0054086B">
        <w:lastRenderedPageBreak/>
        <w:t xml:space="preserve">Ad. 4 </w:t>
      </w:r>
      <w:r w:rsidRPr="0054086B">
        <w:rPr>
          <w:i/>
          <w:iCs/>
        </w:rPr>
        <w:t>Ratio decidendi</w:t>
      </w:r>
      <w:r w:rsidRPr="0054086B">
        <w:t>, czyli wskazanie na motywy rozstrzygnięcia, rozumiane jako odwołanie się do zasad prawnych.</w:t>
      </w:r>
    </w:p>
    <w:p w14:paraId="4C57FDFA" w14:textId="77777777" w:rsidR="00CD1B99" w:rsidRPr="0054086B" w:rsidRDefault="00CD1B99" w:rsidP="00CD1B99">
      <w:pPr>
        <w:autoSpaceDE w:val="0"/>
        <w:autoSpaceDN w:val="0"/>
        <w:adjustRightInd w:val="0"/>
        <w:jc w:val="both"/>
      </w:pPr>
      <w:r w:rsidRPr="0054086B">
        <w:t xml:space="preserve">Uwaga! Wiele decyzji rzymskich jurystów nie zawierało motywów czy uzasadnień. </w:t>
      </w:r>
      <w:r w:rsidRPr="0054086B">
        <w:rPr>
          <w:i/>
          <w:iCs/>
        </w:rPr>
        <w:t>Rationes</w:t>
      </w:r>
      <w:r w:rsidRPr="0054086B">
        <w:t xml:space="preserve"> mogą stanowić: zastosowanie normy prawnej, zastosowanie reguły logicznej lub językowej, autorytet opinii dawnego (wcześniejszego) jurysty (</w:t>
      </w:r>
      <w:r w:rsidRPr="0054086B">
        <w:rPr>
          <w:i/>
          <w:iCs/>
        </w:rPr>
        <w:t>argumenta ex auctoritate</w:t>
      </w:r>
      <w:r w:rsidRPr="0054086B">
        <w:t>), przywołanie zgodnego poglądu wcześniej żyjących jurystów, motyw znaleziony w regule prawnej (</w:t>
      </w:r>
      <w:r w:rsidRPr="0054086B">
        <w:rPr>
          <w:i/>
          <w:iCs/>
        </w:rPr>
        <w:t>regula iuris</w:t>
      </w:r>
      <w:r w:rsidRPr="0054086B">
        <w:t xml:space="preserve">), konstrukcji prawnej, pojęciu prawnym, pospolitym zwyczaju językowym, woli stron lub strony czynności prawnej (np. testamentu), pogląd filozoficzny, analogia, podobny przypadek - zazwyczaj prostszy, niż rozstrzygana sprawa, </w:t>
      </w:r>
      <w:r w:rsidRPr="0054086B">
        <w:rPr>
          <w:i/>
          <w:iCs/>
        </w:rPr>
        <w:t>deductio ad absurdum</w:t>
      </w:r>
      <w:r w:rsidRPr="0054086B">
        <w:t xml:space="preserve"> (sprowadzenie innego możliwego rozstrzygnięcia do absurdu).</w:t>
      </w:r>
    </w:p>
    <w:p w14:paraId="66B74BF1" w14:textId="4C117F3E" w:rsidR="00CD1B99" w:rsidRPr="0054086B" w:rsidRDefault="00CD1B99" w:rsidP="00CD1B99">
      <w:pPr>
        <w:autoSpaceDE w:val="0"/>
        <w:autoSpaceDN w:val="0"/>
        <w:adjustRightInd w:val="0"/>
        <w:jc w:val="both"/>
      </w:pPr>
      <w:r w:rsidRPr="0054086B">
        <w:t xml:space="preserve">Odniesienie się do zasad będzie tzw. „otwartą argumentacją” w odróżnieniu do argumentu z normy prawnej (np. ustawy akwiliańskiej). Dobrze jest wskazać tu na metodę kazuistyczną jurystów rzymskich oraz na znaczenie reguł </w:t>
      </w:r>
      <w:r w:rsidR="003B6821" w:rsidRPr="0054086B">
        <w:t>prawnych i</w:t>
      </w:r>
      <w:r w:rsidRPr="0054086B">
        <w:t xml:space="preserve"> spostrzeżenie Paulusa: nie prawo wynika z reguły, lecz z istniejącego prawa powstaje reguła (</w:t>
      </w:r>
      <w:r w:rsidRPr="0054086B">
        <w:rPr>
          <w:i/>
          <w:iCs/>
        </w:rPr>
        <w:t>non ex regula ius summatur, sed ex iure quod est regula fiat</w:t>
      </w:r>
      <w:r w:rsidRPr="0054086B">
        <w:t>).</w:t>
      </w:r>
    </w:p>
    <w:p w14:paraId="20E93A83" w14:textId="77777777" w:rsidR="00CD1B99" w:rsidRPr="0054086B" w:rsidRDefault="00CD1B99" w:rsidP="00CD1B99">
      <w:pPr>
        <w:autoSpaceDE w:val="0"/>
        <w:autoSpaceDN w:val="0"/>
        <w:adjustRightInd w:val="0"/>
        <w:jc w:val="both"/>
      </w:pPr>
    </w:p>
    <w:p w14:paraId="2E7684E3" w14:textId="4643FC4A" w:rsidR="00CD1B99" w:rsidRPr="0054086B" w:rsidRDefault="00CD1B99" w:rsidP="00CD1B99">
      <w:pPr>
        <w:autoSpaceDE w:val="0"/>
        <w:autoSpaceDN w:val="0"/>
        <w:adjustRightInd w:val="0"/>
        <w:jc w:val="both"/>
      </w:pPr>
      <w:r w:rsidRPr="0054086B">
        <w:t xml:space="preserve">Oceniane jest pogłębienie zagadnienia: nie wystarczy np. wskazać na wolę testatora jako przyczynę decyzji, ale należy </w:t>
      </w:r>
      <w:r w:rsidR="003B6821" w:rsidRPr="0054086B">
        <w:t>zapytać,</w:t>
      </w:r>
      <w:r w:rsidRPr="0054086B">
        <w:t xml:space="preserve"> dlaczego ona jest ważna dla rozstrzygnięcia.</w:t>
      </w:r>
    </w:p>
    <w:p w14:paraId="18CC7871" w14:textId="77777777" w:rsidR="00CD1B99" w:rsidRPr="0054086B" w:rsidRDefault="00CD1B99" w:rsidP="00546BD7">
      <w:pPr>
        <w:jc w:val="both"/>
      </w:pPr>
    </w:p>
    <w:p w14:paraId="1D155F8E" w14:textId="77777777" w:rsidR="001714D5" w:rsidRPr="0054086B" w:rsidRDefault="001714D5" w:rsidP="001714D5">
      <w:pPr>
        <w:jc w:val="both"/>
      </w:pPr>
    </w:p>
    <w:p w14:paraId="7BED8F1C" w14:textId="5B38A661" w:rsidR="00C57570" w:rsidRPr="0054086B" w:rsidRDefault="001714D5" w:rsidP="0084667F">
      <w:r w:rsidRPr="0054086B">
        <w:rPr>
          <w:b/>
          <w:bCs/>
        </w:rPr>
        <w:t>V.</w:t>
      </w:r>
      <w:r w:rsidR="0084667F" w:rsidRPr="0054086B">
        <w:rPr>
          <w:b/>
          <w:bCs/>
        </w:rPr>
        <w:t xml:space="preserve"> </w:t>
      </w:r>
      <w:r w:rsidR="006D352A" w:rsidRPr="0054086B">
        <w:rPr>
          <w:b/>
          <w:bCs/>
        </w:rPr>
        <w:t>Literatura dodatkowa</w:t>
      </w:r>
      <w:r w:rsidRPr="0054086B">
        <w:rPr>
          <w:b/>
          <w:bCs/>
        </w:rPr>
        <w:t>:</w:t>
      </w:r>
      <w:r w:rsidRPr="0054086B">
        <w:t xml:space="preserve"> </w:t>
      </w:r>
    </w:p>
    <w:p w14:paraId="6F35EECB" w14:textId="0316E5A0" w:rsidR="00C57570" w:rsidRPr="0054086B" w:rsidRDefault="00C57570" w:rsidP="0084667F"/>
    <w:p w14:paraId="3B5696D6" w14:textId="2E8C6246" w:rsidR="00086B89" w:rsidRPr="00FC0F40" w:rsidRDefault="00086B89" w:rsidP="00086B89">
      <w:r w:rsidRPr="00FC0F40">
        <w:t xml:space="preserve">E. Loska, Legat w prawie rzymskim, </w:t>
      </w:r>
      <w:r w:rsidR="00FC0F40">
        <w:t>„</w:t>
      </w:r>
      <w:r w:rsidRPr="00FC0F40">
        <w:t xml:space="preserve">Zeszyty </w:t>
      </w:r>
      <w:r w:rsidR="00EF01F0" w:rsidRPr="00FC0F40">
        <w:t>P</w:t>
      </w:r>
      <w:r w:rsidRPr="00FC0F40">
        <w:t>rawnicze</w:t>
      </w:r>
      <w:r w:rsidR="00FC0F40">
        <w:t>”</w:t>
      </w:r>
      <w:r w:rsidRPr="00FC0F40">
        <w:t xml:space="preserve"> </w:t>
      </w:r>
      <w:r w:rsidR="00FC0F40">
        <w:t>[</w:t>
      </w:r>
      <w:r w:rsidRPr="00FC0F40">
        <w:t>UKSW</w:t>
      </w:r>
      <w:r w:rsidR="00FC0F40">
        <w:t>]</w:t>
      </w:r>
      <w:r w:rsidRPr="00FC0F40">
        <w:t xml:space="preserve"> 3.1</w:t>
      </w:r>
      <w:r w:rsidR="00FC0F40">
        <w:t xml:space="preserve"> (</w:t>
      </w:r>
      <w:r w:rsidRPr="00FC0F40">
        <w:t>2003</w:t>
      </w:r>
      <w:r w:rsidR="00FC0F40">
        <w:t>)</w:t>
      </w:r>
      <w:r w:rsidRPr="00FC0F40">
        <w:t xml:space="preserve">, s. 69-92. </w:t>
      </w:r>
      <w:hyperlink r:id="rId8" w:tgtFrame="_blank" w:history="1">
        <w:r w:rsidRPr="00FC0F40">
          <w:rPr>
            <w:rStyle w:val="Hipercze"/>
            <w:color w:val="auto"/>
            <w:u w:val="none"/>
          </w:rPr>
          <w:t>https://czasopisma.uksw.edu.pl/index.php/zp/article/download/1317/1268/</w:t>
        </w:r>
      </w:hyperlink>
    </w:p>
    <w:p w14:paraId="280C40B2" w14:textId="4BACC973" w:rsidR="00863FE4" w:rsidRPr="00FC0F40" w:rsidRDefault="00863FE4" w:rsidP="00863FE4">
      <w:r w:rsidRPr="00FC0F40">
        <w:t xml:space="preserve">F. Longchamps de Berier, Fideikomis uniwersalny a swoboda dysponowania </w:t>
      </w:r>
      <w:r w:rsidR="00EF01F0" w:rsidRPr="00FC0F40">
        <w:t>majątkiem</w:t>
      </w:r>
      <w:r w:rsidRPr="00FC0F40">
        <w:t xml:space="preserve"> na wypadek </w:t>
      </w:r>
      <w:r w:rsidR="00EF01F0" w:rsidRPr="00FC0F40">
        <w:t>śmierci</w:t>
      </w:r>
      <w:r w:rsidRPr="00FC0F40">
        <w:t xml:space="preserve">: zmiany zakresu podmiotowego w rzymskim prawie spadkowym, </w:t>
      </w:r>
      <w:r w:rsidR="00FC0F40">
        <w:t>„</w:t>
      </w:r>
      <w:r w:rsidRPr="00FC0F40">
        <w:t>Studia Iuridica</w:t>
      </w:r>
      <w:r w:rsidR="00FC0F40">
        <w:t>”</w:t>
      </w:r>
      <w:r w:rsidRPr="00FC0F40">
        <w:t xml:space="preserve"> </w:t>
      </w:r>
      <w:r w:rsidR="00FC0F40">
        <w:t>26 (</w:t>
      </w:r>
      <w:r w:rsidRPr="00FC0F40">
        <w:t>1998</w:t>
      </w:r>
      <w:r w:rsidR="00FC0F40">
        <w:t>)</w:t>
      </w:r>
      <w:r w:rsidRPr="00FC0F40">
        <w:t xml:space="preserve">, s. 138-158. </w:t>
      </w:r>
      <w:hyperlink r:id="rId9" w:tgtFrame="_blank" w:history="1">
        <w:r w:rsidRPr="00FC0F40">
          <w:rPr>
            <w:rStyle w:val="Hipercze"/>
            <w:color w:val="auto"/>
            <w:u w:val="none"/>
          </w:rPr>
          <w:t>https://wpia.uw.edu.pl/uploads/media/5ec3d360b5b37/longchamps-de-berier-f-fideikomis-uniwersalny-a-swoboda-dysponowania-majatkiem-na-wypadek-smierci.pdf?v1</w:t>
        </w:r>
      </w:hyperlink>
    </w:p>
    <w:p w14:paraId="7C13D67C" w14:textId="09D21825" w:rsidR="001F1DD5" w:rsidRPr="00FC0F40" w:rsidRDefault="00863FE4" w:rsidP="00AD205B">
      <w:pPr>
        <w:rPr>
          <w:shd w:val="clear" w:color="auto" w:fill="FFFFFF"/>
        </w:rPr>
      </w:pPr>
      <w:r w:rsidRPr="00FC0F40">
        <w:t xml:space="preserve">B. Szolc-Nartowski, Wola dziedzica a treść legatu w prawie rzymskim, </w:t>
      </w:r>
      <w:r w:rsidR="00FC0F40">
        <w:t>„</w:t>
      </w:r>
      <w:r w:rsidRPr="00FC0F40">
        <w:t>Studia Prawnicze. Rozprawy i Materiały</w:t>
      </w:r>
      <w:r w:rsidR="00FC0F40">
        <w:t>”</w:t>
      </w:r>
      <w:r w:rsidRPr="00FC0F40">
        <w:t xml:space="preserve"> </w:t>
      </w:r>
      <w:r w:rsidR="00FC0F40">
        <w:t>2 (</w:t>
      </w:r>
      <w:r w:rsidRPr="00FC0F40">
        <w:t>2018</w:t>
      </w:r>
      <w:r w:rsidR="00FC0F40">
        <w:t>)</w:t>
      </w:r>
      <w:r w:rsidRPr="00FC0F40">
        <w:t xml:space="preserve">, </w:t>
      </w:r>
      <w:r w:rsidR="00AD205B" w:rsidRPr="00FC0F40">
        <w:t xml:space="preserve">s. 91-104. </w:t>
      </w:r>
      <w:r w:rsidR="00AD205B" w:rsidRPr="00FC0F40">
        <w:br/>
      </w:r>
      <w:hyperlink r:id="rId10" w:history="1">
        <w:r w:rsidR="00AD205B" w:rsidRPr="00FC0F40">
          <w:rPr>
            <w:rStyle w:val="Hipercze"/>
            <w:color w:val="auto"/>
            <w:u w:val="none"/>
            <w:shd w:val="clear" w:color="auto" w:fill="FFFFFF"/>
          </w:rPr>
          <w:t>http://cejsh.icm.edu.pl/cejsh/element/bwmeta1.element.mhp-c41993e0-c8e9-4c0b-9cac-a1cce4bc9603</w:t>
        </w:r>
      </w:hyperlink>
    </w:p>
    <w:p w14:paraId="1E73A754" w14:textId="0C5FFD4C" w:rsidR="00AD205B" w:rsidRPr="00FC0F40" w:rsidRDefault="00AD205B" w:rsidP="00AD205B">
      <w:pPr>
        <w:rPr>
          <w:shd w:val="clear" w:color="auto" w:fill="FFFFFF"/>
        </w:rPr>
      </w:pPr>
    </w:p>
    <w:p w14:paraId="0D80B9DC" w14:textId="77777777" w:rsidR="00601115" w:rsidRPr="00FC0F40" w:rsidRDefault="00601115" w:rsidP="00AD205B">
      <w:pPr>
        <w:jc w:val="both"/>
        <w:textAlignment w:val="baseline"/>
        <w:rPr>
          <w:b/>
          <w:bCs/>
        </w:rPr>
      </w:pPr>
    </w:p>
    <w:p w14:paraId="6C81D1CD" w14:textId="77777777" w:rsidR="00601115" w:rsidRDefault="00601115" w:rsidP="00AD205B">
      <w:pPr>
        <w:jc w:val="both"/>
        <w:textAlignment w:val="baseline"/>
        <w:rPr>
          <w:b/>
          <w:bCs/>
        </w:rPr>
      </w:pPr>
    </w:p>
    <w:p w14:paraId="6D22EBBB" w14:textId="77777777" w:rsidR="00601115" w:rsidRDefault="00601115" w:rsidP="00AD205B">
      <w:pPr>
        <w:jc w:val="both"/>
        <w:textAlignment w:val="baseline"/>
        <w:rPr>
          <w:b/>
          <w:bCs/>
        </w:rPr>
      </w:pPr>
    </w:p>
    <w:p w14:paraId="5AD577E9" w14:textId="77777777" w:rsidR="00601115" w:rsidRDefault="00601115" w:rsidP="00AD205B">
      <w:pPr>
        <w:jc w:val="both"/>
        <w:textAlignment w:val="baseline"/>
        <w:rPr>
          <w:b/>
          <w:bCs/>
        </w:rPr>
      </w:pPr>
    </w:p>
    <w:p w14:paraId="66041DB6" w14:textId="6FBA582C" w:rsidR="00AD205B" w:rsidRPr="0054086B" w:rsidRDefault="00AD205B" w:rsidP="00AD205B">
      <w:pPr>
        <w:jc w:val="both"/>
        <w:textAlignment w:val="baseline"/>
        <w:rPr>
          <w:b/>
          <w:bCs/>
        </w:rPr>
      </w:pPr>
      <w:r w:rsidRPr="0054086B">
        <w:rPr>
          <w:b/>
          <w:bCs/>
        </w:rPr>
        <w:t>VI. Symulacja rozprawy</w:t>
      </w:r>
    </w:p>
    <w:p w14:paraId="2DDA2833" w14:textId="77777777" w:rsidR="00AD205B" w:rsidRPr="0054086B" w:rsidRDefault="00AD205B" w:rsidP="00AD205B">
      <w:pPr>
        <w:jc w:val="both"/>
        <w:textAlignment w:val="baseline"/>
      </w:pPr>
    </w:p>
    <w:p w14:paraId="2545076B" w14:textId="05A6FD53" w:rsidR="00AD205B" w:rsidRPr="0054086B" w:rsidRDefault="00AD205B" w:rsidP="00AD205B">
      <w:pPr>
        <w:jc w:val="both"/>
        <w:textAlignment w:val="baseline"/>
      </w:pPr>
      <w:r w:rsidRPr="0054086B">
        <w:t>Wyznaczeni przez prowadzącego studenci, pracując w zespołach 3 os., przygotowują i prezentują stanowiska stron sporu (powoda i pozwanego). Trzeci zespół (3 osobowy) pełni rolę kolegium sędziowskiego, które przygotowuje rozstrzygnięcie. Podczas ćwiczeń pozostali uczestnicy dołączają do kolegium sędziowskiego, mogą zadawać stronom pytania i uczestniczyć w naradzie sędziowskiej.</w:t>
      </w:r>
    </w:p>
    <w:p w14:paraId="72510ECC" w14:textId="2AB1AA69" w:rsidR="00AC3631" w:rsidRPr="0054086B" w:rsidRDefault="00AC3631" w:rsidP="00AD205B">
      <w:pPr>
        <w:jc w:val="both"/>
        <w:textAlignment w:val="baseline"/>
      </w:pPr>
    </w:p>
    <w:p w14:paraId="1A0F8446" w14:textId="77777777" w:rsidR="00EF01F0" w:rsidRPr="0054086B" w:rsidRDefault="00EF01F0" w:rsidP="00AD205B">
      <w:pPr>
        <w:jc w:val="both"/>
        <w:textAlignment w:val="baseline"/>
        <w:rPr>
          <w:b/>
          <w:bCs/>
        </w:rPr>
      </w:pPr>
    </w:p>
    <w:p w14:paraId="3BB334E2" w14:textId="4C48A5DA" w:rsidR="00AC3631" w:rsidRPr="0054086B" w:rsidRDefault="00AC3631" w:rsidP="00AD205B">
      <w:pPr>
        <w:jc w:val="both"/>
        <w:textAlignment w:val="baseline"/>
        <w:rPr>
          <w:b/>
          <w:bCs/>
        </w:rPr>
      </w:pPr>
      <w:r w:rsidRPr="0054086B">
        <w:rPr>
          <w:b/>
          <w:bCs/>
        </w:rPr>
        <w:lastRenderedPageBreak/>
        <w:t>Stan faktyczny</w:t>
      </w:r>
      <w:r w:rsidR="009D4250" w:rsidRPr="0054086B">
        <w:rPr>
          <w:b/>
          <w:bCs/>
        </w:rPr>
        <w:t>:</w:t>
      </w:r>
    </w:p>
    <w:p w14:paraId="7BB38355" w14:textId="77777777" w:rsidR="009D4250" w:rsidRPr="0054086B" w:rsidRDefault="009D4250" w:rsidP="00AD205B">
      <w:pPr>
        <w:jc w:val="both"/>
        <w:textAlignment w:val="baseline"/>
      </w:pPr>
    </w:p>
    <w:p w14:paraId="5138CA42" w14:textId="5B11DB80" w:rsidR="00C618D2" w:rsidRDefault="00C618D2" w:rsidP="00AD205B">
      <w:pPr>
        <w:jc w:val="both"/>
        <w:textAlignment w:val="baseline"/>
      </w:pPr>
      <w:r w:rsidRPr="0054086B">
        <w:t>Czas: II w. po Chr.</w:t>
      </w:r>
    </w:p>
    <w:p w14:paraId="571EA593" w14:textId="4DC2DDB4" w:rsidR="008238DE" w:rsidRDefault="008238DE" w:rsidP="00AD205B">
      <w:pPr>
        <w:jc w:val="both"/>
        <w:textAlignment w:val="baseline"/>
      </w:pPr>
    </w:p>
    <w:p w14:paraId="47C03269" w14:textId="085B875E" w:rsidR="008238DE" w:rsidRDefault="008238DE" w:rsidP="00AD205B">
      <w:pPr>
        <w:jc w:val="both"/>
        <w:textAlignment w:val="baseline"/>
      </w:pPr>
      <w:r>
        <w:t>Valerius Nepos, zmieniwszy swą wolę pociął swój testament i wykreślił imiona spadkobierców. Testament zawierał także legaty i wyzwolenia. Jeden z legatów uczyniony był na rzecz Marcusa, wykreślonego spadkobiercy.</w:t>
      </w:r>
    </w:p>
    <w:p w14:paraId="43DE897A" w14:textId="77777777" w:rsidR="004B68CB" w:rsidRDefault="004B68CB" w:rsidP="00AD205B">
      <w:pPr>
        <w:jc w:val="both"/>
        <w:textAlignment w:val="baseline"/>
      </w:pPr>
      <w:r>
        <w:t>Spadek okazał się bezdziedziczny, przypadając skarbowi cesarskiemu.</w:t>
      </w:r>
    </w:p>
    <w:p w14:paraId="5DE89D1C" w14:textId="77777777" w:rsidR="004B68CB" w:rsidRDefault="004B68CB" w:rsidP="00AD205B">
      <w:pPr>
        <w:jc w:val="both"/>
        <w:textAlignment w:val="baseline"/>
      </w:pPr>
    </w:p>
    <w:p w14:paraId="3A64E8C8" w14:textId="0FCAB041" w:rsidR="004B68CB" w:rsidRPr="0054086B" w:rsidRDefault="004B68CB" w:rsidP="00AD205B">
      <w:pPr>
        <w:jc w:val="both"/>
        <w:textAlignment w:val="baseline"/>
      </w:pPr>
      <w:r>
        <w:t>Jednakże Marcus domaga się wykonania legatu. W imieniu strony pozwanej występuje Longinus (</w:t>
      </w:r>
      <w:r w:rsidRPr="00763C34">
        <w:rPr>
          <w:i/>
          <w:iCs/>
        </w:rPr>
        <w:t>advocatus fisci</w:t>
      </w:r>
      <w:r>
        <w:t>).</w:t>
      </w:r>
    </w:p>
    <w:p w14:paraId="3C57B989" w14:textId="77777777" w:rsidR="00C618D2" w:rsidRPr="0054086B" w:rsidRDefault="00C618D2" w:rsidP="00AD205B">
      <w:pPr>
        <w:jc w:val="both"/>
        <w:textAlignment w:val="baseline"/>
      </w:pPr>
    </w:p>
    <w:p w14:paraId="5984F213" w14:textId="77777777" w:rsidR="00AD205B" w:rsidRPr="0054086B" w:rsidRDefault="00AD205B" w:rsidP="00AD205B"/>
    <w:p w14:paraId="57878F0A" w14:textId="77777777" w:rsidR="00086B89" w:rsidRPr="0054086B" w:rsidRDefault="00086B89" w:rsidP="001714D5">
      <w:pPr>
        <w:rPr>
          <w:b/>
        </w:rPr>
      </w:pPr>
    </w:p>
    <w:p w14:paraId="4DBBC5E4" w14:textId="279B8A67" w:rsidR="001714D5" w:rsidRPr="0054086B" w:rsidRDefault="006D352A" w:rsidP="001714D5">
      <w:pPr>
        <w:rPr>
          <w:b/>
        </w:rPr>
      </w:pPr>
      <w:r w:rsidRPr="0054086B">
        <w:rPr>
          <w:b/>
        </w:rPr>
        <w:t>VII</w:t>
      </w:r>
      <w:r w:rsidR="001714D5" w:rsidRPr="0054086B">
        <w:rPr>
          <w:b/>
        </w:rPr>
        <w:t>. Planowany przebieg zajęć:</w:t>
      </w:r>
    </w:p>
    <w:p w14:paraId="0D56E223" w14:textId="77777777" w:rsidR="00F24894" w:rsidRPr="0054086B" w:rsidRDefault="00F24894" w:rsidP="00F24894">
      <w:pPr>
        <w:jc w:val="both"/>
        <w:rPr>
          <w:color w:val="222222"/>
          <w:shd w:val="clear" w:color="auto" w:fill="FFFFFF"/>
        </w:rPr>
      </w:pPr>
      <w:r w:rsidRPr="0054086B">
        <w:rPr>
          <w:color w:val="222222"/>
          <w:shd w:val="clear" w:color="auto" w:fill="FFFFFF"/>
        </w:rPr>
        <w:t>sprawdzenie obecności</w:t>
      </w:r>
    </w:p>
    <w:p w14:paraId="592E1B53" w14:textId="77777777" w:rsidR="00F24894" w:rsidRPr="0054086B" w:rsidRDefault="00F24894" w:rsidP="00F24894">
      <w:pPr>
        <w:jc w:val="both"/>
        <w:rPr>
          <w:color w:val="222222"/>
          <w:shd w:val="clear" w:color="auto" w:fill="FFFFFF"/>
        </w:rPr>
      </w:pPr>
      <w:r w:rsidRPr="0054086B">
        <w:rPr>
          <w:color w:val="222222"/>
          <w:shd w:val="clear" w:color="auto" w:fill="FFFFFF"/>
        </w:rPr>
        <w:t>test obejmujący znajomość terminów i pojęć oraz paremii</w:t>
      </w:r>
    </w:p>
    <w:p w14:paraId="58DB2B59" w14:textId="77777777" w:rsidR="00F24894" w:rsidRPr="0054086B" w:rsidRDefault="00F24894" w:rsidP="00F24894">
      <w:pPr>
        <w:jc w:val="both"/>
        <w:rPr>
          <w:color w:val="222222"/>
          <w:shd w:val="clear" w:color="auto" w:fill="FFFFFF"/>
        </w:rPr>
      </w:pPr>
      <w:r w:rsidRPr="0054086B">
        <w:rPr>
          <w:color w:val="222222"/>
          <w:shd w:val="clear" w:color="auto" w:fill="FFFFFF"/>
        </w:rPr>
        <w:t>interpretacja tekstu źródłowego – praca wspólna moderowana przez prowadzącego</w:t>
      </w:r>
    </w:p>
    <w:p w14:paraId="6B1ADA42" w14:textId="77777777" w:rsidR="00F24894" w:rsidRPr="0054086B" w:rsidRDefault="00F24894" w:rsidP="00F24894">
      <w:pPr>
        <w:jc w:val="both"/>
        <w:rPr>
          <w:color w:val="222222"/>
          <w:shd w:val="clear" w:color="auto" w:fill="FFFFFF"/>
        </w:rPr>
      </w:pPr>
      <w:r w:rsidRPr="0054086B">
        <w:rPr>
          <w:color w:val="222222"/>
          <w:shd w:val="clear" w:color="auto" w:fill="FFFFFF"/>
        </w:rPr>
        <w:t>symulacja rozprawy sądowej</w:t>
      </w:r>
    </w:p>
    <w:p w14:paraId="00340985" w14:textId="77777777" w:rsidR="00F24894" w:rsidRPr="0054086B" w:rsidRDefault="00F24894" w:rsidP="00F24894">
      <w:pPr>
        <w:jc w:val="both"/>
      </w:pPr>
      <w:r w:rsidRPr="0054086B">
        <w:rPr>
          <w:color w:val="222222"/>
          <w:shd w:val="clear" w:color="auto" w:fill="FFFFFF"/>
        </w:rPr>
        <w:t>podsumowanie zajęć</w:t>
      </w:r>
    </w:p>
    <w:p w14:paraId="5217E87D" w14:textId="7A3ED42E" w:rsidR="005230D8" w:rsidRPr="0054086B" w:rsidRDefault="005230D8" w:rsidP="001714D5"/>
    <w:p w14:paraId="575EE192" w14:textId="6E00776D" w:rsidR="005230D8" w:rsidRPr="0054086B" w:rsidRDefault="005230D8" w:rsidP="001714D5"/>
    <w:p w14:paraId="22F28530" w14:textId="4CEC4E31" w:rsidR="005230D8" w:rsidRPr="0054086B" w:rsidRDefault="005230D8" w:rsidP="001714D5"/>
    <w:p w14:paraId="755C9ADD" w14:textId="7CAE0C4A" w:rsidR="005230D8" w:rsidRPr="0054086B" w:rsidRDefault="005230D8" w:rsidP="001714D5"/>
    <w:p w14:paraId="3C1A6466" w14:textId="5B8A7E16" w:rsidR="005230D8" w:rsidRPr="0054086B" w:rsidRDefault="005230D8" w:rsidP="001714D5"/>
    <w:p w14:paraId="6B13F472" w14:textId="7795AD2D" w:rsidR="005230D8" w:rsidRPr="0054086B" w:rsidRDefault="005230D8" w:rsidP="001714D5"/>
    <w:p w14:paraId="4421899D" w14:textId="55A92606" w:rsidR="005230D8" w:rsidRPr="0054086B" w:rsidRDefault="005230D8" w:rsidP="001714D5"/>
    <w:p w14:paraId="552493CA" w14:textId="77467D87" w:rsidR="005230D8" w:rsidRPr="0054086B" w:rsidRDefault="005230D8" w:rsidP="001714D5"/>
    <w:p w14:paraId="664A9961" w14:textId="56EB0976" w:rsidR="005230D8" w:rsidRPr="0054086B" w:rsidRDefault="005230D8" w:rsidP="001714D5"/>
    <w:p w14:paraId="11D6CAF0" w14:textId="78340F35" w:rsidR="005230D8" w:rsidRPr="0054086B" w:rsidRDefault="005230D8" w:rsidP="001714D5"/>
    <w:p w14:paraId="00386309" w14:textId="0E3C10A3" w:rsidR="005230D8" w:rsidRPr="0054086B" w:rsidRDefault="005230D8" w:rsidP="001714D5"/>
    <w:p w14:paraId="3156F1D1" w14:textId="6F87B466" w:rsidR="005230D8" w:rsidRPr="0054086B" w:rsidRDefault="005230D8" w:rsidP="001714D5"/>
    <w:sectPr w:rsidR="005230D8" w:rsidRPr="0054086B" w:rsidSect="004C4DE1">
      <w:pgSz w:w="11906" w:h="16838" w:code="9"/>
      <w:pgMar w:top="1871" w:right="1418" w:bottom="1871" w:left="1418" w:header="709" w:footer="709" w:gutter="1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01982" w14:textId="77777777" w:rsidR="00F705BC" w:rsidRDefault="00F705BC" w:rsidP="002E0801">
      <w:r>
        <w:separator/>
      </w:r>
    </w:p>
  </w:endnote>
  <w:endnote w:type="continuationSeparator" w:id="0">
    <w:p w14:paraId="498A4EB8" w14:textId="77777777" w:rsidR="00F705BC" w:rsidRDefault="00F705BC" w:rsidP="002E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FA3D7" w14:textId="77777777" w:rsidR="00F705BC" w:rsidRDefault="00F705BC" w:rsidP="002E0801">
      <w:r>
        <w:separator/>
      </w:r>
    </w:p>
  </w:footnote>
  <w:footnote w:type="continuationSeparator" w:id="0">
    <w:p w14:paraId="6FF2FA1C" w14:textId="77777777" w:rsidR="00F705BC" w:rsidRDefault="00F705BC" w:rsidP="002E0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6A1D"/>
    <w:multiLevelType w:val="hybridMultilevel"/>
    <w:tmpl w:val="5622D5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0CF0294"/>
    <w:multiLevelType w:val="hybridMultilevel"/>
    <w:tmpl w:val="7C9003FA"/>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1A1006AE"/>
    <w:multiLevelType w:val="hybridMultilevel"/>
    <w:tmpl w:val="03C051DC"/>
    <w:lvl w:ilvl="0" w:tplc="04150017">
      <w:start w:val="1"/>
      <w:numFmt w:val="lowerLetter"/>
      <w:lvlText w:val="%1)"/>
      <w:lvlJc w:val="left"/>
      <w:pPr>
        <w:ind w:left="1485" w:hanging="360"/>
      </w:pPr>
    </w:lvl>
    <w:lvl w:ilvl="1" w:tplc="04150017">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 w15:restartNumberingAfterBreak="0">
    <w:nsid w:val="26B52A71"/>
    <w:multiLevelType w:val="hybridMultilevel"/>
    <w:tmpl w:val="2E1A08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2D5B3EEC"/>
    <w:multiLevelType w:val="hybridMultilevel"/>
    <w:tmpl w:val="28D616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43473D9"/>
    <w:multiLevelType w:val="hybridMultilevel"/>
    <w:tmpl w:val="264A70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344A46CB"/>
    <w:multiLevelType w:val="hybridMultilevel"/>
    <w:tmpl w:val="E42278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3B3D5372"/>
    <w:multiLevelType w:val="hybridMultilevel"/>
    <w:tmpl w:val="96C483E2"/>
    <w:lvl w:ilvl="0" w:tplc="6A663CEE">
      <w:start w:val="1"/>
      <w:numFmt w:val="decimal"/>
      <w:lvlText w:val="%1."/>
      <w:lvlJc w:val="left"/>
      <w:pPr>
        <w:ind w:left="1068" w:hanging="360"/>
      </w:pPr>
      <w:rPr>
        <w:b/>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3C152626"/>
    <w:multiLevelType w:val="hybridMultilevel"/>
    <w:tmpl w:val="21C2720A"/>
    <w:lvl w:ilvl="0" w:tplc="46EA127A">
      <w:start w:val="1"/>
      <w:numFmt w:val="lowerLetter"/>
      <w:lvlText w:val="%1)"/>
      <w:lvlJc w:val="left"/>
      <w:pPr>
        <w:ind w:left="1068" w:hanging="360"/>
      </w:pPr>
      <w:rPr>
        <w:b w:val="0"/>
        <w:bCs/>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3DED771D"/>
    <w:multiLevelType w:val="multilevel"/>
    <w:tmpl w:val="A97CA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70225E"/>
    <w:multiLevelType w:val="multilevel"/>
    <w:tmpl w:val="3588E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F8083F"/>
    <w:multiLevelType w:val="hybridMultilevel"/>
    <w:tmpl w:val="F22E55C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 w15:restartNumberingAfterBreak="0">
    <w:nsid w:val="6A192011"/>
    <w:multiLevelType w:val="hybridMultilevel"/>
    <w:tmpl w:val="D7962F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6CF1329E"/>
    <w:multiLevelType w:val="hybridMultilevel"/>
    <w:tmpl w:val="0FA476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CB6FCF"/>
    <w:multiLevelType w:val="hybridMultilevel"/>
    <w:tmpl w:val="688C5176"/>
    <w:lvl w:ilvl="0" w:tplc="6A663CEE">
      <w:start w:val="1"/>
      <w:numFmt w:val="decimal"/>
      <w:lvlText w:val="%1."/>
      <w:lvlJc w:val="left"/>
      <w:pPr>
        <w:ind w:left="1068" w:hanging="360"/>
      </w:pPr>
      <w:rPr>
        <w:b/>
      </w:r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7B833691"/>
    <w:multiLevelType w:val="hybridMultilevel"/>
    <w:tmpl w:val="19A65E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865359842">
    <w:abstractNumId w:val="13"/>
  </w:num>
  <w:num w:numId="2" w16cid:durableId="1224095630">
    <w:abstractNumId w:val="1"/>
  </w:num>
  <w:num w:numId="3" w16cid:durableId="392583278">
    <w:abstractNumId w:val="0"/>
  </w:num>
  <w:num w:numId="4" w16cid:durableId="1017122201">
    <w:abstractNumId w:val="6"/>
  </w:num>
  <w:num w:numId="5" w16cid:durableId="285082433">
    <w:abstractNumId w:val="4"/>
  </w:num>
  <w:num w:numId="6" w16cid:durableId="1892115404">
    <w:abstractNumId w:val="3"/>
  </w:num>
  <w:num w:numId="7" w16cid:durableId="1163618036">
    <w:abstractNumId w:val="12"/>
  </w:num>
  <w:num w:numId="8" w16cid:durableId="201598513">
    <w:abstractNumId w:val="15"/>
  </w:num>
  <w:num w:numId="9" w16cid:durableId="2038265748">
    <w:abstractNumId w:val="5"/>
  </w:num>
  <w:num w:numId="10" w16cid:durableId="1867869271">
    <w:abstractNumId w:val="7"/>
  </w:num>
  <w:num w:numId="11" w16cid:durableId="1702634472">
    <w:abstractNumId w:val="11"/>
  </w:num>
  <w:num w:numId="12" w16cid:durableId="228686887">
    <w:abstractNumId w:val="2"/>
  </w:num>
  <w:num w:numId="13" w16cid:durableId="1737891992">
    <w:abstractNumId w:val="14"/>
  </w:num>
  <w:num w:numId="14" w16cid:durableId="1466897826">
    <w:abstractNumId w:val="8"/>
  </w:num>
  <w:num w:numId="15" w16cid:durableId="94908009">
    <w:abstractNumId w:val="10"/>
  </w:num>
  <w:num w:numId="16" w16cid:durableId="6405044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DF2"/>
    <w:rsid w:val="00020272"/>
    <w:rsid w:val="00072C96"/>
    <w:rsid w:val="00086B89"/>
    <w:rsid w:val="00095232"/>
    <w:rsid w:val="000C64E5"/>
    <w:rsid w:val="00123818"/>
    <w:rsid w:val="00123B2E"/>
    <w:rsid w:val="00161FC2"/>
    <w:rsid w:val="00166F97"/>
    <w:rsid w:val="001714D5"/>
    <w:rsid w:val="00191015"/>
    <w:rsid w:val="001C6E4C"/>
    <w:rsid w:val="001C7794"/>
    <w:rsid w:val="001E2057"/>
    <w:rsid w:val="001F1DD5"/>
    <w:rsid w:val="0020503C"/>
    <w:rsid w:val="00221BA1"/>
    <w:rsid w:val="002447B4"/>
    <w:rsid w:val="002613AB"/>
    <w:rsid w:val="002E0801"/>
    <w:rsid w:val="002F4E95"/>
    <w:rsid w:val="003303EB"/>
    <w:rsid w:val="00341CCA"/>
    <w:rsid w:val="003443C2"/>
    <w:rsid w:val="00367E98"/>
    <w:rsid w:val="00392A48"/>
    <w:rsid w:val="003A542A"/>
    <w:rsid w:val="003B6821"/>
    <w:rsid w:val="003D75EA"/>
    <w:rsid w:val="003E528D"/>
    <w:rsid w:val="00407528"/>
    <w:rsid w:val="00422783"/>
    <w:rsid w:val="00422DF2"/>
    <w:rsid w:val="004260D5"/>
    <w:rsid w:val="004328C9"/>
    <w:rsid w:val="004508ED"/>
    <w:rsid w:val="004626F7"/>
    <w:rsid w:val="00465B0B"/>
    <w:rsid w:val="0047243A"/>
    <w:rsid w:val="00481981"/>
    <w:rsid w:val="004A4556"/>
    <w:rsid w:val="004B68CB"/>
    <w:rsid w:val="005230D8"/>
    <w:rsid w:val="00535442"/>
    <w:rsid w:val="00536458"/>
    <w:rsid w:val="0054086B"/>
    <w:rsid w:val="00546BD7"/>
    <w:rsid w:val="0058436B"/>
    <w:rsid w:val="005861A3"/>
    <w:rsid w:val="005975D0"/>
    <w:rsid w:val="005B471E"/>
    <w:rsid w:val="005D6677"/>
    <w:rsid w:val="005E5931"/>
    <w:rsid w:val="005E5AEA"/>
    <w:rsid w:val="005F6D72"/>
    <w:rsid w:val="00601115"/>
    <w:rsid w:val="0061073D"/>
    <w:rsid w:val="00613BD6"/>
    <w:rsid w:val="0069655F"/>
    <w:rsid w:val="006D352A"/>
    <w:rsid w:val="00717AFF"/>
    <w:rsid w:val="00763C34"/>
    <w:rsid w:val="007857C7"/>
    <w:rsid w:val="007F2264"/>
    <w:rsid w:val="00805E12"/>
    <w:rsid w:val="0081421D"/>
    <w:rsid w:val="008238DE"/>
    <w:rsid w:val="00824EA0"/>
    <w:rsid w:val="008306BB"/>
    <w:rsid w:val="0084667F"/>
    <w:rsid w:val="00863FE4"/>
    <w:rsid w:val="0088558E"/>
    <w:rsid w:val="008925E3"/>
    <w:rsid w:val="008C2B90"/>
    <w:rsid w:val="009403D1"/>
    <w:rsid w:val="00972144"/>
    <w:rsid w:val="009B30DF"/>
    <w:rsid w:val="009D4250"/>
    <w:rsid w:val="009F766C"/>
    <w:rsid w:val="00A040FC"/>
    <w:rsid w:val="00A31840"/>
    <w:rsid w:val="00A35EF2"/>
    <w:rsid w:val="00A53399"/>
    <w:rsid w:val="00A63FD2"/>
    <w:rsid w:val="00A81E05"/>
    <w:rsid w:val="00A87C2A"/>
    <w:rsid w:val="00AB3F02"/>
    <w:rsid w:val="00AC3631"/>
    <w:rsid w:val="00AD205B"/>
    <w:rsid w:val="00AE1C5E"/>
    <w:rsid w:val="00AF374F"/>
    <w:rsid w:val="00AF5A67"/>
    <w:rsid w:val="00AF6E89"/>
    <w:rsid w:val="00AF7E90"/>
    <w:rsid w:val="00B07371"/>
    <w:rsid w:val="00B26B55"/>
    <w:rsid w:val="00B32263"/>
    <w:rsid w:val="00B74F65"/>
    <w:rsid w:val="00B90900"/>
    <w:rsid w:val="00B976C7"/>
    <w:rsid w:val="00BB0849"/>
    <w:rsid w:val="00BC6222"/>
    <w:rsid w:val="00C04A0B"/>
    <w:rsid w:val="00C247A9"/>
    <w:rsid w:val="00C57570"/>
    <w:rsid w:val="00C618D2"/>
    <w:rsid w:val="00C719DD"/>
    <w:rsid w:val="00C778FA"/>
    <w:rsid w:val="00CD1B99"/>
    <w:rsid w:val="00CD4B5D"/>
    <w:rsid w:val="00D40A04"/>
    <w:rsid w:val="00D95EF8"/>
    <w:rsid w:val="00DA04AA"/>
    <w:rsid w:val="00DC6BAB"/>
    <w:rsid w:val="00DD11E8"/>
    <w:rsid w:val="00DF297B"/>
    <w:rsid w:val="00E403D3"/>
    <w:rsid w:val="00E51E7C"/>
    <w:rsid w:val="00ED6FCB"/>
    <w:rsid w:val="00EF01F0"/>
    <w:rsid w:val="00F24894"/>
    <w:rsid w:val="00F24949"/>
    <w:rsid w:val="00F7011D"/>
    <w:rsid w:val="00F705BC"/>
    <w:rsid w:val="00FC0F40"/>
    <w:rsid w:val="00FD4D65"/>
    <w:rsid w:val="00FE0004"/>
    <w:rsid w:val="00FE1B8B"/>
    <w:rsid w:val="00FE6680"/>
    <w:rsid w:val="00FE74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59483"/>
  <w15:chartTrackingRefBased/>
  <w15:docId w15:val="{94F2FFE0-FA8F-4CD4-A886-D2BACB9C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14D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1714D5"/>
    <w:rPr>
      <w:b/>
      <w:bCs/>
    </w:rPr>
  </w:style>
  <w:style w:type="character" w:styleId="Hipercze">
    <w:name w:val="Hyperlink"/>
    <w:basedOn w:val="Domylnaczcionkaakapitu"/>
    <w:uiPriority w:val="99"/>
    <w:unhideWhenUsed/>
    <w:rsid w:val="001714D5"/>
    <w:rPr>
      <w:color w:val="0563C1" w:themeColor="hyperlink"/>
      <w:u w:val="single"/>
    </w:rPr>
  </w:style>
  <w:style w:type="paragraph" w:styleId="Akapitzlist">
    <w:name w:val="List Paragraph"/>
    <w:basedOn w:val="Normalny"/>
    <w:uiPriority w:val="34"/>
    <w:qFormat/>
    <w:rsid w:val="001714D5"/>
    <w:pPr>
      <w:spacing w:after="160" w:line="259" w:lineRule="auto"/>
      <w:ind w:left="720"/>
      <w:contextualSpacing/>
    </w:pPr>
    <w:rPr>
      <w:rFonts w:asciiTheme="minorHAnsi" w:eastAsiaTheme="minorHAnsi" w:hAnsiTheme="minorHAnsi" w:cstheme="minorBidi"/>
      <w:sz w:val="22"/>
      <w:szCs w:val="22"/>
      <w:lang w:eastAsia="en-US"/>
    </w:rPr>
  </w:style>
  <w:style w:type="character" w:styleId="Nierozpoznanawzmianka">
    <w:name w:val="Unresolved Mention"/>
    <w:basedOn w:val="Domylnaczcionkaakapitu"/>
    <w:uiPriority w:val="99"/>
    <w:semiHidden/>
    <w:unhideWhenUsed/>
    <w:rsid w:val="0084667F"/>
    <w:rPr>
      <w:color w:val="605E5C"/>
      <w:shd w:val="clear" w:color="auto" w:fill="E1DFDD"/>
    </w:rPr>
  </w:style>
  <w:style w:type="paragraph" w:styleId="Tekstprzypisukocowego">
    <w:name w:val="endnote text"/>
    <w:basedOn w:val="Normalny"/>
    <w:link w:val="TekstprzypisukocowegoZnak"/>
    <w:uiPriority w:val="99"/>
    <w:semiHidden/>
    <w:unhideWhenUsed/>
    <w:rsid w:val="002E0801"/>
    <w:rPr>
      <w:sz w:val="20"/>
      <w:szCs w:val="20"/>
    </w:rPr>
  </w:style>
  <w:style w:type="character" w:customStyle="1" w:styleId="TekstprzypisukocowegoZnak">
    <w:name w:val="Tekst przypisu końcowego Znak"/>
    <w:basedOn w:val="Domylnaczcionkaakapitu"/>
    <w:link w:val="Tekstprzypisukocowego"/>
    <w:uiPriority w:val="99"/>
    <w:semiHidden/>
    <w:rsid w:val="002E080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E0801"/>
    <w:rPr>
      <w:vertAlign w:val="superscript"/>
    </w:rPr>
  </w:style>
  <w:style w:type="paragraph" w:styleId="NormalnyWeb">
    <w:name w:val="Normal (Web)"/>
    <w:basedOn w:val="Normalny"/>
    <w:uiPriority w:val="99"/>
    <w:unhideWhenUsed/>
    <w:rsid w:val="00863FE4"/>
    <w:pPr>
      <w:spacing w:before="100" w:beforeAutospacing="1" w:after="100" w:afterAutospacing="1"/>
    </w:pPr>
  </w:style>
  <w:style w:type="paragraph" w:customStyle="1" w:styleId="ak">
    <w:name w:val="ak"/>
    <w:basedOn w:val="Normalny"/>
    <w:rsid w:val="004626F7"/>
    <w:pPr>
      <w:spacing w:before="100" w:beforeAutospacing="1" w:after="100" w:afterAutospacing="1"/>
    </w:pPr>
  </w:style>
  <w:style w:type="character" w:styleId="UyteHipercze">
    <w:name w:val="FollowedHyperlink"/>
    <w:basedOn w:val="Domylnaczcionkaakapitu"/>
    <w:uiPriority w:val="99"/>
    <w:semiHidden/>
    <w:unhideWhenUsed/>
    <w:rsid w:val="0054086B"/>
    <w:rPr>
      <w:color w:val="954F72" w:themeColor="followedHyperlink"/>
      <w:u w:val="single"/>
    </w:rPr>
  </w:style>
  <w:style w:type="character" w:customStyle="1" w:styleId="apple-converted-space">
    <w:name w:val="apple-converted-space"/>
    <w:basedOn w:val="Domylnaczcionkaakapitu"/>
    <w:rsid w:val="00540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11051">
      <w:bodyDiv w:val="1"/>
      <w:marLeft w:val="0"/>
      <w:marRight w:val="0"/>
      <w:marTop w:val="0"/>
      <w:marBottom w:val="0"/>
      <w:divBdr>
        <w:top w:val="none" w:sz="0" w:space="0" w:color="auto"/>
        <w:left w:val="none" w:sz="0" w:space="0" w:color="auto"/>
        <w:bottom w:val="none" w:sz="0" w:space="0" w:color="auto"/>
        <w:right w:val="none" w:sz="0" w:space="0" w:color="auto"/>
      </w:divBdr>
    </w:div>
    <w:div w:id="334455251">
      <w:bodyDiv w:val="1"/>
      <w:marLeft w:val="0"/>
      <w:marRight w:val="0"/>
      <w:marTop w:val="0"/>
      <w:marBottom w:val="0"/>
      <w:divBdr>
        <w:top w:val="none" w:sz="0" w:space="0" w:color="auto"/>
        <w:left w:val="none" w:sz="0" w:space="0" w:color="auto"/>
        <w:bottom w:val="none" w:sz="0" w:space="0" w:color="auto"/>
        <w:right w:val="none" w:sz="0" w:space="0" w:color="auto"/>
      </w:divBdr>
    </w:div>
    <w:div w:id="341973174">
      <w:bodyDiv w:val="1"/>
      <w:marLeft w:val="0"/>
      <w:marRight w:val="0"/>
      <w:marTop w:val="0"/>
      <w:marBottom w:val="0"/>
      <w:divBdr>
        <w:top w:val="none" w:sz="0" w:space="0" w:color="auto"/>
        <w:left w:val="none" w:sz="0" w:space="0" w:color="auto"/>
        <w:bottom w:val="none" w:sz="0" w:space="0" w:color="auto"/>
        <w:right w:val="none" w:sz="0" w:space="0" w:color="auto"/>
      </w:divBdr>
    </w:div>
    <w:div w:id="419722588">
      <w:bodyDiv w:val="1"/>
      <w:marLeft w:val="0"/>
      <w:marRight w:val="0"/>
      <w:marTop w:val="0"/>
      <w:marBottom w:val="0"/>
      <w:divBdr>
        <w:top w:val="none" w:sz="0" w:space="0" w:color="auto"/>
        <w:left w:val="none" w:sz="0" w:space="0" w:color="auto"/>
        <w:bottom w:val="none" w:sz="0" w:space="0" w:color="auto"/>
        <w:right w:val="none" w:sz="0" w:space="0" w:color="auto"/>
      </w:divBdr>
    </w:div>
    <w:div w:id="646933287">
      <w:bodyDiv w:val="1"/>
      <w:marLeft w:val="0"/>
      <w:marRight w:val="0"/>
      <w:marTop w:val="0"/>
      <w:marBottom w:val="0"/>
      <w:divBdr>
        <w:top w:val="none" w:sz="0" w:space="0" w:color="auto"/>
        <w:left w:val="none" w:sz="0" w:space="0" w:color="auto"/>
        <w:bottom w:val="none" w:sz="0" w:space="0" w:color="auto"/>
        <w:right w:val="none" w:sz="0" w:space="0" w:color="auto"/>
      </w:divBdr>
    </w:div>
    <w:div w:id="700208902">
      <w:bodyDiv w:val="1"/>
      <w:marLeft w:val="0"/>
      <w:marRight w:val="0"/>
      <w:marTop w:val="0"/>
      <w:marBottom w:val="0"/>
      <w:divBdr>
        <w:top w:val="none" w:sz="0" w:space="0" w:color="auto"/>
        <w:left w:val="none" w:sz="0" w:space="0" w:color="auto"/>
        <w:bottom w:val="none" w:sz="0" w:space="0" w:color="auto"/>
        <w:right w:val="none" w:sz="0" w:space="0" w:color="auto"/>
      </w:divBdr>
    </w:div>
    <w:div w:id="746727319">
      <w:bodyDiv w:val="1"/>
      <w:marLeft w:val="0"/>
      <w:marRight w:val="0"/>
      <w:marTop w:val="0"/>
      <w:marBottom w:val="0"/>
      <w:divBdr>
        <w:top w:val="none" w:sz="0" w:space="0" w:color="auto"/>
        <w:left w:val="none" w:sz="0" w:space="0" w:color="auto"/>
        <w:bottom w:val="none" w:sz="0" w:space="0" w:color="auto"/>
        <w:right w:val="none" w:sz="0" w:space="0" w:color="auto"/>
      </w:divBdr>
    </w:div>
    <w:div w:id="1013216986">
      <w:bodyDiv w:val="1"/>
      <w:marLeft w:val="0"/>
      <w:marRight w:val="0"/>
      <w:marTop w:val="0"/>
      <w:marBottom w:val="0"/>
      <w:divBdr>
        <w:top w:val="none" w:sz="0" w:space="0" w:color="auto"/>
        <w:left w:val="none" w:sz="0" w:space="0" w:color="auto"/>
        <w:bottom w:val="none" w:sz="0" w:space="0" w:color="auto"/>
        <w:right w:val="none" w:sz="0" w:space="0" w:color="auto"/>
      </w:divBdr>
    </w:div>
    <w:div w:id="1232499626">
      <w:bodyDiv w:val="1"/>
      <w:marLeft w:val="0"/>
      <w:marRight w:val="0"/>
      <w:marTop w:val="0"/>
      <w:marBottom w:val="0"/>
      <w:divBdr>
        <w:top w:val="none" w:sz="0" w:space="0" w:color="auto"/>
        <w:left w:val="none" w:sz="0" w:space="0" w:color="auto"/>
        <w:bottom w:val="none" w:sz="0" w:space="0" w:color="auto"/>
        <w:right w:val="none" w:sz="0" w:space="0" w:color="auto"/>
      </w:divBdr>
    </w:div>
    <w:div w:id="1311788222">
      <w:bodyDiv w:val="1"/>
      <w:marLeft w:val="0"/>
      <w:marRight w:val="0"/>
      <w:marTop w:val="0"/>
      <w:marBottom w:val="0"/>
      <w:divBdr>
        <w:top w:val="none" w:sz="0" w:space="0" w:color="auto"/>
        <w:left w:val="none" w:sz="0" w:space="0" w:color="auto"/>
        <w:bottom w:val="none" w:sz="0" w:space="0" w:color="auto"/>
        <w:right w:val="none" w:sz="0" w:space="0" w:color="auto"/>
      </w:divBdr>
      <w:divsChild>
        <w:div w:id="444428371">
          <w:marLeft w:val="0"/>
          <w:marRight w:val="0"/>
          <w:marTop w:val="0"/>
          <w:marBottom w:val="0"/>
          <w:divBdr>
            <w:top w:val="none" w:sz="0" w:space="0" w:color="auto"/>
            <w:left w:val="none" w:sz="0" w:space="0" w:color="auto"/>
            <w:bottom w:val="none" w:sz="0" w:space="0" w:color="auto"/>
            <w:right w:val="none" w:sz="0" w:space="0" w:color="auto"/>
          </w:divBdr>
          <w:divsChild>
            <w:div w:id="881744086">
              <w:marLeft w:val="0"/>
              <w:marRight w:val="0"/>
              <w:marTop w:val="0"/>
              <w:marBottom w:val="0"/>
              <w:divBdr>
                <w:top w:val="none" w:sz="0" w:space="0" w:color="auto"/>
                <w:left w:val="none" w:sz="0" w:space="0" w:color="auto"/>
                <w:bottom w:val="none" w:sz="0" w:space="0" w:color="auto"/>
                <w:right w:val="none" w:sz="0" w:space="0" w:color="auto"/>
              </w:divBdr>
              <w:divsChild>
                <w:div w:id="148230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99306">
      <w:bodyDiv w:val="1"/>
      <w:marLeft w:val="0"/>
      <w:marRight w:val="0"/>
      <w:marTop w:val="0"/>
      <w:marBottom w:val="0"/>
      <w:divBdr>
        <w:top w:val="none" w:sz="0" w:space="0" w:color="auto"/>
        <w:left w:val="none" w:sz="0" w:space="0" w:color="auto"/>
        <w:bottom w:val="none" w:sz="0" w:space="0" w:color="auto"/>
        <w:right w:val="none" w:sz="0" w:space="0" w:color="auto"/>
      </w:divBdr>
    </w:div>
    <w:div w:id="1429498174">
      <w:bodyDiv w:val="1"/>
      <w:marLeft w:val="0"/>
      <w:marRight w:val="0"/>
      <w:marTop w:val="0"/>
      <w:marBottom w:val="0"/>
      <w:divBdr>
        <w:top w:val="none" w:sz="0" w:space="0" w:color="auto"/>
        <w:left w:val="none" w:sz="0" w:space="0" w:color="auto"/>
        <w:bottom w:val="none" w:sz="0" w:space="0" w:color="auto"/>
        <w:right w:val="none" w:sz="0" w:space="0" w:color="auto"/>
      </w:divBdr>
    </w:div>
    <w:div w:id="1521696805">
      <w:bodyDiv w:val="1"/>
      <w:marLeft w:val="0"/>
      <w:marRight w:val="0"/>
      <w:marTop w:val="0"/>
      <w:marBottom w:val="0"/>
      <w:divBdr>
        <w:top w:val="none" w:sz="0" w:space="0" w:color="auto"/>
        <w:left w:val="none" w:sz="0" w:space="0" w:color="auto"/>
        <w:bottom w:val="none" w:sz="0" w:space="0" w:color="auto"/>
        <w:right w:val="none" w:sz="0" w:space="0" w:color="auto"/>
      </w:divBdr>
    </w:div>
    <w:div w:id="1574008833">
      <w:bodyDiv w:val="1"/>
      <w:marLeft w:val="0"/>
      <w:marRight w:val="0"/>
      <w:marTop w:val="0"/>
      <w:marBottom w:val="0"/>
      <w:divBdr>
        <w:top w:val="none" w:sz="0" w:space="0" w:color="auto"/>
        <w:left w:val="none" w:sz="0" w:space="0" w:color="auto"/>
        <w:bottom w:val="none" w:sz="0" w:space="0" w:color="auto"/>
        <w:right w:val="none" w:sz="0" w:space="0" w:color="auto"/>
      </w:divBdr>
    </w:div>
    <w:div w:id="1896163142">
      <w:bodyDiv w:val="1"/>
      <w:marLeft w:val="0"/>
      <w:marRight w:val="0"/>
      <w:marTop w:val="0"/>
      <w:marBottom w:val="0"/>
      <w:divBdr>
        <w:top w:val="none" w:sz="0" w:space="0" w:color="auto"/>
        <w:left w:val="none" w:sz="0" w:space="0" w:color="auto"/>
        <w:bottom w:val="none" w:sz="0" w:space="0" w:color="auto"/>
        <w:right w:val="none" w:sz="0" w:space="0" w:color="auto"/>
      </w:divBdr>
      <w:divsChild>
        <w:div w:id="1668752810">
          <w:marLeft w:val="0"/>
          <w:marRight w:val="0"/>
          <w:marTop w:val="0"/>
          <w:marBottom w:val="0"/>
          <w:divBdr>
            <w:top w:val="none" w:sz="0" w:space="0" w:color="auto"/>
            <w:left w:val="none" w:sz="0" w:space="0" w:color="auto"/>
            <w:bottom w:val="none" w:sz="0" w:space="0" w:color="auto"/>
            <w:right w:val="none" w:sz="0" w:space="0" w:color="auto"/>
          </w:divBdr>
          <w:divsChild>
            <w:div w:id="1089741979">
              <w:marLeft w:val="0"/>
              <w:marRight w:val="0"/>
              <w:marTop w:val="0"/>
              <w:marBottom w:val="0"/>
              <w:divBdr>
                <w:top w:val="none" w:sz="0" w:space="0" w:color="auto"/>
                <w:left w:val="none" w:sz="0" w:space="0" w:color="auto"/>
                <w:bottom w:val="none" w:sz="0" w:space="0" w:color="auto"/>
                <w:right w:val="none" w:sz="0" w:space="0" w:color="auto"/>
              </w:divBdr>
              <w:divsChild>
                <w:div w:id="112908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0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asopisma.uksw.edu.pl/index.php/zp/article/download/1317/1268/" TargetMode="External"/><Relationship Id="rId3" Type="http://schemas.openxmlformats.org/officeDocument/2006/relationships/settings" Target="settings.xml"/><Relationship Id="rId7" Type="http://schemas.openxmlformats.org/officeDocument/2006/relationships/hyperlink" Target="https://pl.wikipedia.org/wiki/Nemo_plus_iur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cejsh.icm.edu.pl/cejsh/element/bwmeta1.element.mhp-c41993e0-c8e9-4c0b-9cac-a1cce4bc9603" TargetMode="External"/><Relationship Id="rId4" Type="http://schemas.openxmlformats.org/officeDocument/2006/relationships/webSettings" Target="webSettings.xml"/><Relationship Id="rId9" Type="http://schemas.openxmlformats.org/officeDocument/2006/relationships/hyperlink" Target="https://wpia.uw.edu.pl/uploads/media/5ec3d360b5b37/longchamps-de-berier-f-fideikomis-uniwersalny-a-swoboda-dysponowania-majatkiem-na-wypadek-smierci.pdf?v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1608</Words>
  <Characters>9653</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Jolanta Kowalczyk</dc:creator>
  <cp:keywords/>
  <dc:description/>
  <cp:lastModifiedBy>Jacek Wiewiorowski</cp:lastModifiedBy>
  <cp:revision>8</cp:revision>
  <cp:lastPrinted>2022-11-09T12:29:00Z</cp:lastPrinted>
  <dcterms:created xsi:type="dcterms:W3CDTF">2022-11-11T13:00:00Z</dcterms:created>
  <dcterms:modified xsi:type="dcterms:W3CDTF">2022-11-12T08:40:00Z</dcterms:modified>
</cp:coreProperties>
</file>