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4B33" w14:textId="77777777" w:rsidR="0050772D" w:rsidRPr="007D1E0B" w:rsidRDefault="0050772D" w:rsidP="0050772D">
      <w:pPr>
        <w:rPr>
          <w:b/>
          <w:bCs/>
        </w:rPr>
      </w:pPr>
      <w:r w:rsidRPr="007D1E0B">
        <w:rPr>
          <w:b/>
          <w:bCs/>
        </w:rPr>
        <w:t xml:space="preserve">Zakład Prawa Rzymskiego </w:t>
      </w:r>
      <w:proofErr w:type="spellStart"/>
      <w:r w:rsidRPr="007D1E0B">
        <w:rPr>
          <w:b/>
          <w:bCs/>
        </w:rPr>
        <w:t>WPiA</w:t>
      </w:r>
      <w:proofErr w:type="spellEnd"/>
      <w:r w:rsidRPr="007D1E0B">
        <w:rPr>
          <w:b/>
          <w:bCs/>
        </w:rPr>
        <w:t xml:space="preserve"> UG, rok akademicki 2022/2023</w:t>
      </w:r>
    </w:p>
    <w:p w14:paraId="10777300" w14:textId="35DD977E" w:rsidR="00DC4788" w:rsidRDefault="0050772D" w:rsidP="0050772D">
      <w:pPr>
        <w:rPr>
          <w:b/>
          <w:bCs/>
        </w:rPr>
      </w:pPr>
      <w:r w:rsidRPr="00D4019C">
        <w:rPr>
          <w:b/>
          <w:bCs/>
        </w:rPr>
        <w:t xml:space="preserve">Kwestionariusz zadań nr </w:t>
      </w:r>
      <w:r w:rsidR="002C4813">
        <w:rPr>
          <w:b/>
          <w:bCs/>
        </w:rPr>
        <w:t>9</w:t>
      </w:r>
    </w:p>
    <w:p w14:paraId="518393F3" w14:textId="77777777" w:rsidR="00DC4788" w:rsidRDefault="00DC4788" w:rsidP="00DC4788">
      <w:pPr>
        <w:ind w:left="4248"/>
        <w:rPr>
          <w:i/>
          <w:iCs/>
        </w:rPr>
      </w:pPr>
    </w:p>
    <w:p w14:paraId="3FCFC006" w14:textId="278021ED" w:rsidR="00DC4788" w:rsidRDefault="00823970" w:rsidP="00DC4788">
      <w:pPr>
        <w:ind w:left="4248"/>
        <w:rPr>
          <w:i/>
          <w:iCs/>
        </w:rPr>
      </w:pPr>
      <w:r>
        <w:rPr>
          <w:i/>
          <w:iCs/>
        </w:rPr>
        <w:t xml:space="preserve">Jeśli sędzia spór uczynił swoim, to uważa się, że nie jest właściwie zobowiązany z deliktu. Lecz ponieważ nie jest również zobowiązany z kontraktu, a jednak sądzi się, że coś zawinił, choćby z powodu nieznajomości prawa, to z tego powodu uważa się, że ponosi odpowiedzialność jak gdyby z deliktu, i poniesie karę w tej wysokości, jaką uzna za słuszną sumienny </w:t>
      </w:r>
      <w:r w:rsidR="009C310B">
        <w:rPr>
          <w:i/>
          <w:iCs/>
        </w:rPr>
        <w:t>sędzia</w:t>
      </w:r>
      <w:r>
        <w:rPr>
          <w:i/>
          <w:iCs/>
        </w:rPr>
        <w:t>.</w:t>
      </w:r>
    </w:p>
    <w:p w14:paraId="20066B7E" w14:textId="77777777" w:rsidR="00DC4788" w:rsidRDefault="00DC4788" w:rsidP="00DC4788">
      <w:pPr>
        <w:ind w:left="4248"/>
        <w:rPr>
          <w:i/>
          <w:iCs/>
        </w:rPr>
      </w:pPr>
    </w:p>
    <w:p w14:paraId="315674ED" w14:textId="1E1D5D52" w:rsidR="00DC4788" w:rsidRPr="005F6D72" w:rsidRDefault="00DC4788" w:rsidP="00DC4788">
      <w:pPr>
        <w:ind w:left="4248"/>
      </w:pPr>
      <w:r>
        <w:t xml:space="preserve">Instytucje Justyniana </w:t>
      </w:r>
      <w:r w:rsidR="00823970">
        <w:t>4</w:t>
      </w:r>
      <w:r>
        <w:t>, 5</w:t>
      </w:r>
      <w:r w:rsidR="00823970">
        <w:t>.</w:t>
      </w:r>
    </w:p>
    <w:p w14:paraId="5CD06BC2" w14:textId="77777777" w:rsidR="00DC4788" w:rsidRDefault="00DC4788" w:rsidP="00DC4788">
      <w:pPr>
        <w:rPr>
          <w:b/>
          <w:bCs/>
        </w:rPr>
      </w:pPr>
    </w:p>
    <w:p w14:paraId="42C2CC24" w14:textId="67429BC8" w:rsidR="00DC4788" w:rsidRDefault="00DC4788" w:rsidP="00815CED">
      <w:pPr>
        <w:jc w:val="both"/>
      </w:pPr>
      <w:r>
        <w:rPr>
          <w:b/>
          <w:bCs/>
        </w:rPr>
        <w:t xml:space="preserve">I. </w:t>
      </w:r>
      <w:r w:rsidRPr="00496B6E">
        <w:rPr>
          <w:b/>
          <w:bCs/>
        </w:rPr>
        <w:t>Cel zajęć:</w:t>
      </w:r>
      <w:r w:rsidRPr="00496B6E">
        <w:t xml:space="preserve"> Celem zajęć jest wprowadzenie do zagadnień związanych z rzymsk</w:t>
      </w:r>
      <w:r>
        <w:t xml:space="preserve">im prawem </w:t>
      </w:r>
      <w:r w:rsidR="00CF33AA">
        <w:t>obligacyjnym</w:t>
      </w:r>
      <w:r w:rsidR="00823970">
        <w:t>, dotyczącym części zobowiązań umownych, deliktów oraz innych zdarzeń prawnych</w:t>
      </w:r>
      <w:r>
        <w:t xml:space="preserve">. </w:t>
      </w:r>
    </w:p>
    <w:p w14:paraId="461E52AD" w14:textId="77777777" w:rsidR="00DC4788" w:rsidRPr="00496B6E" w:rsidRDefault="00DC4788" w:rsidP="00DC4788"/>
    <w:p w14:paraId="14568946" w14:textId="403D2E09" w:rsidR="00DC4788" w:rsidRPr="00165AEB" w:rsidRDefault="00DC4788" w:rsidP="00DC4788">
      <w:pPr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 xml:space="preserve">Czas </w:t>
      </w:r>
      <w:r w:rsidRPr="00165AEB">
        <w:rPr>
          <w:color w:val="222222"/>
          <w:shd w:val="clear" w:color="auto" w:fill="FFFFFF"/>
        </w:rPr>
        <w:t xml:space="preserve">pracy własnej: </w:t>
      </w:r>
      <w:r w:rsidR="00350CAF">
        <w:rPr>
          <w:color w:val="222222"/>
          <w:shd w:val="clear" w:color="auto" w:fill="FFFFFF"/>
        </w:rPr>
        <w:t>420</w:t>
      </w:r>
      <w:r w:rsidRPr="00165AEB">
        <w:rPr>
          <w:color w:val="222222"/>
          <w:shd w:val="clear" w:color="auto" w:fill="FFFFFF"/>
        </w:rPr>
        <w:t xml:space="preserve"> min.</w:t>
      </w:r>
    </w:p>
    <w:p w14:paraId="56DCEE69" w14:textId="77777777" w:rsidR="00DC4788" w:rsidRPr="00165AEB" w:rsidRDefault="00DC4788" w:rsidP="00DC4788">
      <w:pPr>
        <w:rPr>
          <w:color w:val="222222"/>
          <w:shd w:val="clear" w:color="auto" w:fill="FFFFFF"/>
        </w:rPr>
      </w:pPr>
      <w:r w:rsidRPr="00165AEB">
        <w:rPr>
          <w:color w:val="222222"/>
          <w:shd w:val="clear" w:color="auto" w:fill="FFFFFF"/>
        </w:rPr>
        <w:t>Czas zajęć: 2x45 min.</w:t>
      </w:r>
    </w:p>
    <w:p w14:paraId="74B323E2" w14:textId="77777777" w:rsidR="00DC4788" w:rsidRPr="00165AEB" w:rsidRDefault="00DC4788" w:rsidP="00DC4788">
      <w:pPr>
        <w:rPr>
          <w:color w:val="222222"/>
          <w:shd w:val="clear" w:color="auto" w:fill="FFFFFF"/>
        </w:rPr>
      </w:pPr>
    </w:p>
    <w:p w14:paraId="17748AF7" w14:textId="77777777" w:rsidR="00DC4788" w:rsidRDefault="00DC4788" w:rsidP="00815CED">
      <w:pPr>
        <w:jc w:val="both"/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>Zadania:</w:t>
      </w:r>
      <w:r w:rsidRPr="00165AEB">
        <w:rPr>
          <w:color w:val="222222"/>
          <w:shd w:val="clear" w:color="auto" w:fill="FFFFFF"/>
        </w:rPr>
        <w:t xml:space="preserve"> Student jest zobowiązany przed zajęciami do zapoznania się z treścią podręcznika i sporządzenia słowniczka terminów i pojęć. Ponadto winien przetłumaczyć podane proste teksty łacińskie oraz opanować pamięciowo teksty źródłowe. Jest zobowiązany do samodzielnego rozwiązania testu, przedstawienia zagadnienia problemowego oraz rozwiązania kazusu. </w:t>
      </w:r>
      <w:r>
        <w:rPr>
          <w:color w:val="222222"/>
          <w:shd w:val="clear" w:color="auto" w:fill="FFFFFF"/>
        </w:rPr>
        <w:t xml:space="preserve">Uwaga! Wszystkie zadania musza być wykonywane przez studenta </w:t>
      </w:r>
      <w:r w:rsidRPr="00501B54">
        <w:rPr>
          <w:color w:val="222222"/>
          <w:u w:val="single"/>
          <w:shd w:val="clear" w:color="auto" w:fill="FFFFFF"/>
        </w:rPr>
        <w:t>indywidualnie</w:t>
      </w:r>
      <w:r>
        <w:rPr>
          <w:color w:val="222222"/>
          <w:shd w:val="clear" w:color="auto" w:fill="FFFFFF"/>
        </w:rPr>
        <w:t>.</w:t>
      </w:r>
    </w:p>
    <w:p w14:paraId="6D03F4ED" w14:textId="77777777" w:rsidR="00DC4788" w:rsidRPr="00165AEB" w:rsidRDefault="00DC4788" w:rsidP="00DC4788">
      <w:pPr>
        <w:rPr>
          <w:color w:val="222222"/>
          <w:shd w:val="clear" w:color="auto" w:fill="FFFFFF"/>
        </w:rPr>
      </w:pPr>
    </w:p>
    <w:p w14:paraId="4BD82813" w14:textId="193B9E35" w:rsidR="00DC4788" w:rsidRPr="00496B6E" w:rsidRDefault="00DC4788" w:rsidP="00DC4788">
      <w:r w:rsidRPr="00496B6E">
        <w:rPr>
          <w:b/>
          <w:bCs/>
        </w:rPr>
        <w:t xml:space="preserve">Lektura: </w:t>
      </w:r>
      <w:r w:rsidRPr="00496B6E">
        <w:t xml:space="preserve">podręcznik </w:t>
      </w:r>
      <w:r>
        <w:t xml:space="preserve">T. </w:t>
      </w:r>
      <w:proofErr w:type="spellStart"/>
      <w:r>
        <w:t>Giaro</w:t>
      </w:r>
      <w:proofErr w:type="spellEnd"/>
      <w:r>
        <w:t xml:space="preserve">, W. </w:t>
      </w:r>
      <w:proofErr w:type="spellStart"/>
      <w:r>
        <w:t>Dajczak</w:t>
      </w:r>
      <w:proofErr w:type="spellEnd"/>
      <w:r>
        <w:t xml:space="preserve">, F. </w:t>
      </w:r>
      <w:proofErr w:type="spellStart"/>
      <w:r>
        <w:t>Longchamps</w:t>
      </w:r>
      <w:proofErr w:type="spellEnd"/>
      <w:r>
        <w:t xml:space="preserve"> de </w:t>
      </w:r>
      <w:proofErr w:type="spellStart"/>
      <w:r>
        <w:t>Berier</w:t>
      </w:r>
      <w:proofErr w:type="spellEnd"/>
      <w:r>
        <w:t xml:space="preserve">, </w:t>
      </w:r>
      <w:r w:rsidRPr="009F51A5">
        <w:rPr>
          <w:i/>
          <w:iCs/>
        </w:rPr>
        <w:t>Prawo rzymskie. U podstaw prawa prywatnego</w:t>
      </w:r>
      <w:r>
        <w:t>, wyd. 3, Warszawa 2018</w:t>
      </w:r>
      <w:r w:rsidR="0071181B">
        <w:t xml:space="preserve">, s. 463-602; </w:t>
      </w:r>
      <w:r w:rsidRPr="00496B6E">
        <w:t xml:space="preserve">K. Kolańczyk, </w:t>
      </w:r>
      <w:r w:rsidRPr="00496B6E">
        <w:rPr>
          <w:i/>
        </w:rPr>
        <w:t>Prawo rzymskie</w:t>
      </w:r>
      <w:r w:rsidRPr="00496B6E">
        <w:t xml:space="preserve">, </w:t>
      </w:r>
      <w:r w:rsidR="0071181B">
        <w:t>Warszawa 2021, §§ 122-154</w:t>
      </w:r>
      <w:r>
        <w:t>.</w:t>
      </w:r>
    </w:p>
    <w:p w14:paraId="3E864408" w14:textId="77777777" w:rsidR="00DC4788" w:rsidRPr="00496B6E" w:rsidRDefault="00DC4788" w:rsidP="00DC4788"/>
    <w:p w14:paraId="3FECCCA9" w14:textId="77777777" w:rsidR="00DC4788" w:rsidRPr="00496B6E" w:rsidRDefault="00DC4788" w:rsidP="00DC4788">
      <w:pPr>
        <w:rPr>
          <w:b/>
        </w:rPr>
      </w:pPr>
    </w:p>
    <w:p w14:paraId="7A743C7E" w14:textId="2028A0CA" w:rsidR="00DC4788" w:rsidRDefault="00DC4788" w:rsidP="00DC4788">
      <w:pPr>
        <w:rPr>
          <w:b/>
        </w:rPr>
      </w:pPr>
      <w:r>
        <w:rPr>
          <w:b/>
        </w:rPr>
        <w:t xml:space="preserve">II. </w:t>
      </w:r>
      <w:r w:rsidRPr="00496B6E">
        <w:rPr>
          <w:b/>
        </w:rPr>
        <w:t>Słowniczek terminów i pojęć obowiązujących do samodzielnego sporządzenia i wyjaśnienia</w:t>
      </w:r>
    </w:p>
    <w:p w14:paraId="51AD2333" w14:textId="7A2C2FBE" w:rsidR="00021DCE" w:rsidRDefault="00021DCE" w:rsidP="00DC4788">
      <w:pPr>
        <w:rPr>
          <w:b/>
        </w:rPr>
      </w:pPr>
    </w:p>
    <w:p w14:paraId="0C309286" w14:textId="3E71D3F4" w:rsidR="00021DCE" w:rsidRDefault="00021DCE" w:rsidP="00DC4788">
      <w:pPr>
        <w:rPr>
          <w:b/>
        </w:rPr>
      </w:pPr>
    </w:p>
    <w:p w14:paraId="2FDD171A" w14:textId="6E9C6B09" w:rsidR="00021DCE" w:rsidRPr="007862D4" w:rsidRDefault="00021DCE" w:rsidP="00DC4788">
      <w:pPr>
        <w:rPr>
          <w:bCs/>
          <w:lang w:val="en-US"/>
        </w:rPr>
      </w:pPr>
      <w:r w:rsidRPr="007862D4">
        <w:rPr>
          <w:bCs/>
          <w:lang w:val="en-US"/>
        </w:rPr>
        <w:t xml:space="preserve">Bona fides; </w:t>
      </w:r>
      <w:proofErr w:type="spellStart"/>
      <w:r w:rsidRPr="007862D4">
        <w:rPr>
          <w:bCs/>
          <w:lang w:val="en-US"/>
        </w:rPr>
        <w:t>boni</w:t>
      </w:r>
      <w:proofErr w:type="spellEnd"/>
      <w:r w:rsidRPr="007862D4">
        <w:rPr>
          <w:bCs/>
          <w:lang w:val="en-US"/>
        </w:rPr>
        <w:t xml:space="preserve"> mores; </w:t>
      </w:r>
      <w:proofErr w:type="spellStart"/>
      <w:r w:rsidR="005A1A8E" w:rsidRPr="007862D4">
        <w:rPr>
          <w:bCs/>
          <w:lang w:val="en-US"/>
        </w:rPr>
        <w:t>permutatio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emptio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venditio</w:t>
      </w:r>
      <w:proofErr w:type="spellEnd"/>
      <w:r w:rsidRPr="007862D4">
        <w:rPr>
          <w:bCs/>
          <w:lang w:val="en-US"/>
        </w:rPr>
        <w:t xml:space="preserve">; </w:t>
      </w:r>
      <w:r w:rsidR="005A1A8E" w:rsidRPr="007862D4">
        <w:rPr>
          <w:bCs/>
          <w:lang w:val="en-US"/>
        </w:rPr>
        <w:t xml:space="preserve">emptor; </w:t>
      </w:r>
      <w:proofErr w:type="spellStart"/>
      <w:r w:rsidR="005A1A8E" w:rsidRPr="007862D4">
        <w:rPr>
          <w:bCs/>
          <w:lang w:val="en-US"/>
        </w:rPr>
        <w:t>veditor</w:t>
      </w:r>
      <w:proofErr w:type="spellEnd"/>
      <w:r w:rsidR="005A1A8E" w:rsidRPr="007862D4">
        <w:rPr>
          <w:bCs/>
          <w:lang w:val="en-US"/>
        </w:rPr>
        <w:t xml:space="preserve">; res; </w:t>
      </w:r>
      <w:proofErr w:type="spellStart"/>
      <w:r w:rsidR="005A1A8E" w:rsidRPr="007862D4">
        <w:rPr>
          <w:bCs/>
          <w:lang w:val="en-US"/>
        </w:rPr>
        <w:t>merx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="005A1A8E" w:rsidRPr="007862D4">
        <w:rPr>
          <w:bCs/>
          <w:lang w:val="en-US"/>
        </w:rPr>
        <w:t>pretium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emptio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spei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periculum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est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emptoris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actio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redhibitoria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actio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quanti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minoris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="005A1A8E" w:rsidRPr="007862D4">
        <w:rPr>
          <w:bCs/>
          <w:lang w:val="en-US"/>
        </w:rPr>
        <w:t>evictio</w:t>
      </w:r>
      <w:proofErr w:type="spellEnd"/>
      <w:r w:rsidR="005A1A8E" w:rsidRPr="007862D4">
        <w:rPr>
          <w:bCs/>
          <w:lang w:val="en-US"/>
        </w:rPr>
        <w:t xml:space="preserve">; pacta </w:t>
      </w:r>
      <w:proofErr w:type="spellStart"/>
      <w:r w:rsidR="005A1A8E" w:rsidRPr="007862D4">
        <w:rPr>
          <w:bCs/>
          <w:lang w:val="en-US"/>
        </w:rPr>
        <w:t>adiecta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dotatio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locatio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conductio</w:t>
      </w:r>
      <w:proofErr w:type="spellEnd"/>
      <w:r w:rsidRPr="007862D4">
        <w:rPr>
          <w:bCs/>
          <w:lang w:val="en-US"/>
        </w:rPr>
        <w:t xml:space="preserve"> rei; </w:t>
      </w:r>
      <w:proofErr w:type="spellStart"/>
      <w:r w:rsidRPr="007862D4">
        <w:rPr>
          <w:bCs/>
          <w:lang w:val="en-US"/>
        </w:rPr>
        <w:t>locatio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conductio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operis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locatio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conductio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operarum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remissio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mercedis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emptio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tollit</w:t>
      </w:r>
      <w:proofErr w:type="spellEnd"/>
      <w:r w:rsidRPr="007862D4">
        <w:rPr>
          <w:bCs/>
          <w:lang w:val="en-US"/>
        </w:rPr>
        <w:t xml:space="preserve"> </w:t>
      </w:r>
      <w:proofErr w:type="spellStart"/>
      <w:r w:rsidRPr="007862D4">
        <w:rPr>
          <w:bCs/>
          <w:lang w:val="en-US"/>
        </w:rPr>
        <w:t>locatum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aestimat</w:t>
      </w:r>
      <w:r w:rsidR="00763403" w:rsidRPr="007862D4">
        <w:rPr>
          <w:bCs/>
          <w:lang w:val="en-US"/>
        </w:rPr>
        <w:t>um</w:t>
      </w:r>
      <w:proofErr w:type="spellEnd"/>
      <w:r w:rsidRPr="007862D4">
        <w:rPr>
          <w:bCs/>
          <w:lang w:val="en-US"/>
        </w:rPr>
        <w:t xml:space="preserve">; </w:t>
      </w:r>
      <w:proofErr w:type="spellStart"/>
      <w:r w:rsidRPr="007862D4">
        <w:rPr>
          <w:bCs/>
          <w:lang w:val="en-US"/>
        </w:rPr>
        <w:t>imperitia</w:t>
      </w:r>
      <w:proofErr w:type="spellEnd"/>
      <w:r w:rsidRPr="007862D4">
        <w:rPr>
          <w:bCs/>
          <w:lang w:val="en-US"/>
        </w:rPr>
        <w:t xml:space="preserve">; bonus </w:t>
      </w:r>
      <w:proofErr w:type="spellStart"/>
      <w:r w:rsidRPr="007862D4">
        <w:rPr>
          <w:bCs/>
          <w:lang w:val="en-US"/>
        </w:rPr>
        <w:t>vir</w:t>
      </w:r>
      <w:proofErr w:type="spellEnd"/>
      <w:r w:rsidRPr="007862D4">
        <w:rPr>
          <w:bCs/>
          <w:lang w:val="en-US"/>
        </w:rPr>
        <w:t xml:space="preserve">; </w:t>
      </w:r>
      <w:r w:rsidR="005A1A8E" w:rsidRPr="007862D4">
        <w:rPr>
          <w:bCs/>
          <w:lang w:val="en-US"/>
        </w:rPr>
        <w:t xml:space="preserve">depositum </w:t>
      </w:r>
      <w:proofErr w:type="spellStart"/>
      <w:r w:rsidR="005A1A8E" w:rsidRPr="007862D4">
        <w:rPr>
          <w:bCs/>
          <w:lang w:val="en-US"/>
        </w:rPr>
        <w:t>irregulare</w:t>
      </w:r>
      <w:proofErr w:type="spellEnd"/>
      <w:r w:rsidR="005A1A8E" w:rsidRPr="007862D4">
        <w:rPr>
          <w:bCs/>
          <w:lang w:val="en-US"/>
        </w:rPr>
        <w:t xml:space="preserve">; depositum </w:t>
      </w:r>
      <w:proofErr w:type="spellStart"/>
      <w:r w:rsidR="005A1A8E" w:rsidRPr="007862D4">
        <w:rPr>
          <w:bCs/>
          <w:lang w:val="en-US"/>
        </w:rPr>
        <w:t>necessarium</w:t>
      </w:r>
      <w:proofErr w:type="spellEnd"/>
      <w:r w:rsidR="005A1A8E" w:rsidRPr="007862D4">
        <w:rPr>
          <w:bCs/>
          <w:lang w:val="en-US"/>
        </w:rPr>
        <w:t xml:space="preserve">; depositum </w:t>
      </w:r>
      <w:proofErr w:type="spellStart"/>
      <w:r w:rsidR="005A1A8E" w:rsidRPr="007862D4">
        <w:rPr>
          <w:bCs/>
          <w:lang w:val="en-US"/>
        </w:rPr>
        <w:t>sequestre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="005A1A8E" w:rsidRPr="007862D4">
        <w:rPr>
          <w:bCs/>
          <w:lang w:val="en-US"/>
        </w:rPr>
        <w:t>retentio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="005A1A8E" w:rsidRPr="007862D4">
        <w:rPr>
          <w:bCs/>
          <w:lang w:val="en-US"/>
        </w:rPr>
        <w:t>societas</w:t>
      </w:r>
      <w:proofErr w:type="spellEnd"/>
      <w:r w:rsidR="005A1A8E" w:rsidRPr="007862D4">
        <w:rPr>
          <w:bCs/>
          <w:lang w:val="en-US"/>
        </w:rPr>
        <w:t xml:space="preserve"> </w:t>
      </w:r>
      <w:proofErr w:type="spellStart"/>
      <w:r w:rsidR="005A1A8E" w:rsidRPr="007862D4">
        <w:rPr>
          <w:bCs/>
          <w:lang w:val="en-US"/>
        </w:rPr>
        <w:t>leonina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="005A1A8E" w:rsidRPr="007862D4">
        <w:rPr>
          <w:bCs/>
          <w:lang w:val="en-US"/>
        </w:rPr>
        <w:t>fideiussio</w:t>
      </w:r>
      <w:proofErr w:type="spellEnd"/>
      <w:r w:rsidR="005A1A8E" w:rsidRPr="007862D4">
        <w:rPr>
          <w:bCs/>
          <w:lang w:val="en-US"/>
        </w:rPr>
        <w:t xml:space="preserve">; fiducia; </w:t>
      </w:r>
      <w:proofErr w:type="spellStart"/>
      <w:r w:rsidR="005A1A8E" w:rsidRPr="007862D4">
        <w:rPr>
          <w:bCs/>
          <w:lang w:val="en-US"/>
        </w:rPr>
        <w:t>pecunia</w:t>
      </w:r>
      <w:proofErr w:type="spellEnd"/>
      <w:r w:rsidR="005A1A8E" w:rsidRPr="007862D4">
        <w:rPr>
          <w:bCs/>
          <w:lang w:val="en-US"/>
        </w:rPr>
        <w:t xml:space="preserve"> </w:t>
      </w:r>
      <w:proofErr w:type="spellStart"/>
      <w:r w:rsidR="005A1A8E" w:rsidRPr="007862D4">
        <w:rPr>
          <w:bCs/>
          <w:lang w:val="en-US"/>
        </w:rPr>
        <w:t>traiecticia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receptum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argentarii</w:t>
      </w:r>
      <w:proofErr w:type="spellEnd"/>
      <w:r w:rsidR="00763403" w:rsidRPr="007862D4">
        <w:rPr>
          <w:bCs/>
          <w:lang w:val="en-US"/>
        </w:rPr>
        <w:t xml:space="preserve">; </w:t>
      </w:r>
      <w:r w:rsidR="005A1A8E" w:rsidRPr="007862D4">
        <w:rPr>
          <w:bCs/>
          <w:lang w:val="en-US"/>
        </w:rPr>
        <w:t xml:space="preserve">condictio; condictio sine causa; </w:t>
      </w:r>
      <w:proofErr w:type="spellStart"/>
      <w:r w:rsidR="005A1A8E" w:rsidRPr="007862D4">
        <w:rPr>
          <w:bCs/>
          <w:lang w:val="en-US"/>
        </w:rPr>
        <w:t>negotiorum</w:t>
      </w:r>
      <w:proofErr w:type="spellEnd"/>
      <w:r w:rsidR="005A1A8E" w:rsidRPr="007862D4">
        <w:rPr>
          <w:bCs/>
          <w:lang w:val="en-US"/>
        </w:rPr>
        <w:t xml:space="preserve"> gestio; </w:t>
      </w:r>
      <w:r w:rsidR="00763403" w:rsidRPr="007862D4">
        <w:rPr>
          <w:bCs/>
          <w:lang w:val="en-US"/>
        </w:rPr>
        <w:t xml:space="preserve">delicta </w:t>
      </w:r>
      <w:proofErr w:type="spellStart"/>
      <w:r w:rsidR="00763403" w:rsidRPr="007862D4">
        <w:rPr>
          <w:bCs/>
          <w:lang w:val="en-US"/>
        </w:rPr>
        <w:t>privata</w:t>
      </w:r>
      <w:proofErr w:type="spellEnd"/>
      <w:r w:rsidR="00763403" w:rsidRPr="007862D4">
        <w:rPr>
          <w:bCs/>
          <w:lang w:val="en-US"/>
        </w:rPr>
        <w:t xml:space="preserve">; </w:t>
      </w:r>
      <w:r w:rsidR="005A1A8E" w:rsidRPr="007862D4">
        <w:rPr>
          <w:bCs/>
          <w:lang w:val="en-US"/>
        </w:rPr>
        <w:t xml:space="preserve">furtum; furtum </w:t>
      </w:r>
      <w:proofErr w:type="spellStart"/>
      <w:r w:rsidR="005A1A8E" w:rsidRPr="007862D4">
        <w:rPr>
          <w:bCs/>
          <w:lang w:val="en-US"/>
        </w:rPr>
        <w:t>manifestium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="005A1A8E" w:rsidRPr="007862D4">
        <w:rPr>
          <w:bCs/>
          <w:lang w:val="en-US"/>
        </w:rPr>
        <w:t>rapina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actio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legis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Aquiliae</w:t>
      </w:r>
      <w:proofErr w:type="spellEnd"/>
      <w:r w:rsidR="00763403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actiones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utiles</w:t>
      </w:r>
      <w:proofErr w:type="spellEnd"/>
      <w:r w:rsidR="00763403" w:rsidRPr="007862D4">
        <w:rPr>
          <w:bCs/>
          <w:lang w:val="en-US"/>
        </w:rPr>
        <w:t xml:space="preserve">; </w:t>
      </w:r>
      <w:r w:rsidR="005A1A8E" w:rsidRPr="007862D4">
        <w:rPr>
          <w:bCs/>
          <w:lang w:val="en-US"/>
        </w:rPr>
        <w:t xml:space="preserve">damnum </w:t>
      </w:r>
      <w:proofErr w:type="spellStart"/>
      <w:r w:rsidR="005A1A8E" w:rsidRPr="007862D4">
        <w:rPr>
          <w:bCs/>
          <w:lang w:val="en-US"/>
        </w:rPr>
        <w:t>iniuria</w:t>
      </w:r>
      <w:proofErr w:type="spellEnd"/>
      <w:r w:rsidR="005A1A8E" w:rsidRPr="007862D4">
        <w:rPr>
          <w:bCs/>
          <w:lang w:val="en-US"/>
        </w:rPr>
        <w:t xml:space="preserve"> datum; </w:t>
      </w:r>
      <w:proofErr w:type="spellStart"/>
      <w:r w:rsidR="00763403" w:rsidRPr="007862D4">
        <w:rPr>
          <w:bCs/>
          <w:lang w:val="en-US"/>
        </w:rPr>
        <w:t>iniuria</w:t>
      </w:r>
      <w:proofErr w:type="spellEnd"/>
      <w:r w:rsidR="00763403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dolus</w:t>
      </w:r>
      <w:proofErr w:type="spellEnd"/>
      <w:r w:rsidR="00763403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metus</w:t>
      </w:r>
      <w:proofErr w:type="spellEnd"/>
      <w:r w:rsidR="00763403" w:rsidRPr="007862D4">
        <w:rPr>
          <w:bCs/>
          <w:lang w:val="en-US"/>
        </w:rPr>
        <w:t xml:space="preserve">; </w:t>
      </w:r>
      <w:proofErr w:type="spellStart"/>
      <w:r w:rsidR="005A1A8E" w:rsidRPr="007862D4">
        <w:rPr>
          <w:bCs/>
          <w:lang w:val="en-US"/>
        </w:rPr>
        <w:t>fraus</w:t>
      </w:r>
      <w:proofErr w:type="spellEnd"/>
      <w:r w:rsidR="005A1A8E" w:rsidRPr="007862D4">
        <w:rPr>
          <w:bCs/>
          <w:lang w:val="en-US"/>
        </w:rPr>
        <w:t xml:space="preserve"> </w:t>
      </w:r>
      <w:proofErr w:type="spellStart"/>
      <w:r w:rsidR="005A1A8E" w:rsidRPr="007862D4">
        <w:rPr>
          <w:bCs/>
          <w:lang w:val="en-US"/>
        </w:rPr>
        <w:t>creditorum</w:t>
      </w:r>
      <w:proofErr w:type="spellEnd"/>
      <w:r w:rsidR="005A1A8E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servi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corruptio</w:t>
      </w:r>
      <w:proofErr w:type="spellEnd"/>
      <w:r w:rsidR="00763403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deiectum</w:t>
      </w:r>
      <w:proofErr w:type="spellEnd"/>
      <w:r w:rsidR="00763403" w:rsidRPr="007862D4">
        <w:rPr>
          <w:bCs/>
          <w:lang w:val="en-US"/>
        </w:rPr>
        <w:t xml:space="preserve"> vel </w:t>
      </w:r>
      <w:proofErr w:type="spellStart"/>
      <w:r w:rsidR="00763403" w:rsidRPr="007862D4">
        <w:rPr>
          <w:bCs/>
          <w:lang w:val="en-US"/>
        </w:rPr>
        <w:t>effusum</w:t>
      </w:r>
      <w:proofErr w:type="spellEnd"/>
      <w:r w:rsidR="00763403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actiones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adiecticiae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qualitatis</w:t>
      </w:r>
      <w:proofErr w:type="spellEnd"/>
      <w:r w:rsidR="00763403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actio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quod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iussu</w:t>
      </w:r>
      <w:proofErr w:type="spellEnd"/>
      <w:r w:rsidR="00763403" w:rsidRPr="007862D4">
        <w:rPr>
          <w:bCs/>
          <w:lang w:val="en-US"/>
        </w:rPr>
        <w:t xml:space="preserve">; </w:t>
      </w:r>
      <w:proofErr w:type="spellStart"/>
      <w:r w:rsidR="00763403" w:rsidRPr="007862D4">
        <w:rPr>
          <w:bCs/>
          <w:lang w:val="en-US"/>
        </w:rPr>
        <w:t>actio</w:t>
      </w:r>
      <w:proofErr w:type="spellEnd"/>
      <w:r w:rsidR="00763403" w:rsidRPr="007862D4">
        <w:rPr>
          <w:bCs/>
          <w:lang w:val="en-US"/>
        </w:rPr>
        <w:t xml:space="preserve"> </w:t>
      </w:r>
      <w:proofErr w:type="spellStart"/>
      <w:r w:rsidR="00763403" w:rsidRPr="007862D4">
        <w:rPr>
          <w:bCs/>
          <w:lang w:val="en-US"/>
        </w:rPr>
        <w:t>exercitoria</w:t>
      </w:r>
      <w:proofErr w:type="spellEnd"/>
      <w:r w:rsidR="00763403" w:rsidRPr="007862D4">
        <w:rPr>
          <w:bCs/>
          <w:lang w:val="en-US"/>
        </w:rPr>
        <w:t xml:space="preserve">; </w:t>
      </w:r>
      <w:r w:rsidR="005A1A8E" w:rsidRPr="007862D4">
        <w:rPr>
          <w:bCs/>
          <w:lang w:val="en-US"/>
        </w:rPr>
        <w:t xml:space="preserve"> </w:t>
      </w:r>
      <w:r w:rsidRPr="007862D4">
        <w:rPr>
          <w:bCs/>
          <w:lang w:val="en-US"/>
        </w:rPr>
        <w:t xml:space="preserve"> </w:t>
      </w:r>
    </w:p>
    <w:p w14:paraId="5841AA74" w14:textId="77777777" w:rsidR="00DC4788" w:rsidRPr="007862D4" w:rsidRDefault="00DC4788" w:rsidP="00DC4788">
      <w:pPr>
        <w:rPr>
          <w:u w:val="single"/>
          <w:lang w:val="en-US"/>
        </w:rPr>
      </w:pPr>
    </w:p>
    <w:p w14:paraId="22FFEE28" w14:textId="0F7D1E09" w:rsidR="00DC4788" w:rsidRPr="00981409" w:rsidRDefault="00DC4788" w:rsidP="00CB071F">
      <w:pPr>
        <w:rPr>
          <w:lang w:val="en-US"/>
        </w:rPr>
      </w:pPr>
    </w:p>
    <w:p w14:paraId="1B50BD58" w14:textId="33C88F87" w:rsidR="00DC4788" w:rsidRDefault="00DC4788" w:rsidP="00DC4788">
      <w:pPr>
        <w:rPr>
          <w:b/>
          <w:lang w:val="it-IT"/>
        </w:rPr>
      </w:pPr>
      <w:r>
        <w:rPr>
          <w:b/>
          <w:bCs/>
        </w:rPr>
        <w:t xml:space="preserve">III. </w:t>
      </w:r>
      <w:r w:rsidR="007862D4">
        <w:rPr>
          <w:b/>
          <w:lang w:val="it-IT"/>
        </w:rPr>
        <w:t>Paremie i maksymy</w:t>
      </w:r>
    </w:p>
    <w:p w14:paraId="7D3D6E14" w14:textId="3994DA98" w:rsidR="00906F84" w:rsidRDefault="00906F84" w:rsidP="00906F84">
      <w:r w:rsidRPr="000641E0">
        <w:rPr>
          <w:i/>
          <w:iCs/>
        </w:rPr>
        <w:t xml:space="preserve">Vis maior, </w:t>
      </w:r>
      <w:proofErr w:type="spellStart"/>
      <w:r w:rsidRPr="000641E0">
        <w:rPr>
          <w:i/>
          <w:iCs/>
        </w:rPr>
        <w:t>cui</w:t>
      </w:r>
      <w:proofErr w:type="spellEnd"/>
      <w:r w:rsidRPr="000641E0">
        <w:rPr>
          <w:i/>
          <w:iCs/>
        </w:rPr>
        <w:t xml:space="preserve"> </w:t>
      </w:r>
      <w:proofErr w:type="spellStart"/>
      <w:r w:rsidRPr="000641E0">
        <w:rPr>
          <w:i/>
          <w:iCs/>
        </w:rPr>
        <w:t>humana</w:t>
      </w:r>
      <w:proofErr w:type="spellEnd"/>
      <w:r w:rsidRPr="000641E0">
        <w:rPr>
          <w:i/>
          <w:iCs/>
        </w:rPr>
        <w:t xml:space="preserve"> </w:t>
      </w:r>
      <w:proofErr w:type="spellStart"/>
      <w:r w:rsidRPr="000641E0">
        <w:rPr>
          <w:i/>
          <w:iCs/>
        </w:rPr>
        <w:t>infirmitas</w:t>
      </w:r>
      <w:proofErr w:type="spellEnd"/>
      <w:r w:rsidRPr="000641E0">
        <w:rPr>
          <w:i/>
          <w:iCs/>
        </w:rPr>
        <w:t xml:space="preserve"> </w:t>
      </w:r>
      <w:proofErr w:type="spellStart"/>
      <w:r w:rsidRPr="000641E0">
        <w:rPr>
          <w:i/>
          <w:iCs/>
        </w:rPr>
        <w:t>resistere</w:t>
      </w:r>
      <w:proofErr w:type="spellEnd"/>
      <w:r w:rsidRPr="000641E0">
        <w:rPr>
          <w:i/>
          <w:iCs/>
        </w:rPr>
        <w:t xml:space="preserve"> non </w:t>
      </w:r>
      <w:proofErr w:type="spellStart"/>
      <w:r w:rsidRPr="000641E0">
        <w:rPr>
          <w:i/>
          <w:iCs/>
        </w:rPr>
        <w:t>potest</w:t>
      </w:r>
      <w:proofErr w:type="spellEnd"/>
      <w:r w:rsidRPr="000641E0">
        <w:rPr>
          <w:i/>
          <w:iCs/>
        </w:rPr>
        <w:t xml:space="preserve"> </w:t>
      </w:r>
      <w:r>
        <w:t>(</w:t>
      </w:r>
      <w:r w:rsidR="00BD1EA1">
        <w:t xml:space="preserve">ad </w:t>
      </w:r>
      <w:r>
        <w:t>D. 44, 7, 1, 4) – Siła wyższa, której ludzka słabość nie jest w stanie się oprzeć.</w:t>
      </w:r>
    </w:p>
    <w:p w14:paraId="0B603DA7" w14:textId="77777777" w:rsidR="00906F84" w:rsidRDefault="00906F84" w:rsidP="00906F84"/>
    <w:p w14:paraId="53C91692" w14:textId="22A3B927" w:rsidR="000419C0" w:rsidRDefault="000419C0" w:rsidP="00906F84">
      <w:pPr>
        <w:rPr>
          <w:i/>
          <w:iCs/>
        </w:rPr>
      </w:pPr>
      <w:r w:rsidRPr="000419C0">
        <w:rPr>
          <w:i/>
          <w:iCs/>
        </w:rPr>
        <w:t xml:space="preserve">In omnibus </w:t>
      </w:r>
      <w:proofErr w:type="spellStart"/>
      <w:r w:rsidRPr="000419C0">
        <w:rPr>
          <w:i/>
          <w:iCs/>
        </w:rPr>
        <w:t>obligationibus</w:t>
      </w:r>
      <w:proofErr w:type="spellEnd"/>
      <w:r w:rsidRPr="000419C0">
        <w:rPr>
          <w:i/>
          <w:iCs/>
        </w:rPr>
        <w:t xml:space="preserve">, in </w:t>
      </w:r>
      <w:proofErr w:type="spellStart"/>
      <w:r w:rsidRPr="000419C0">
        <w:rPr>
          <w:i/>
          <w:iCs/>
        </w:rPr>
        <w:t>quibus</w:t>
      </w:r>
      <w:proofErr w:type="spellEnd"/>
      <w:r w:rsidRPr="000419C0">
        <w:rPr>
          <w:i/>
          <w:iCs/>
        </w:rPr>
        <w:t xml:space="preserve"> </w:t>
      </w:r>
      <w:proofErr w:type="spellStart"/>
      <w:r w:rsidRPr="000419C0">
        <w:rPr>
          <w:i/>
          <w:iCs/>
        </w:rPr>
        <w:t>dies</w:t>
      </w:r>
      <w:proofErr w:type="spellEnd"/>
      <w:r w:rsidRPr="000419C0">
        <w:rPr>
          <w:i/>
          <w:iCs/>
        </w:rPr>
        <w:t xml:space="preserve"> non </w:t>
      </w:r>
      <w:proofErr w:type="spellStart"/>
      <w:r w:rsidRPr="000419C0">
        <w:rPr>
          <w:i/>
          <w:iCs/>
        </w:rPr>
        <w:t>ponitur</w:t>
      </w:r>
      <w:proofErr w:type="spellEnd"/>
      <w:r w:rsidRPr="000419C0">
        <w:rPr>
          <w:i/>
          <w:iCs/>
        </w:rPr>
        <w:t xml:space="preserve">, </w:t>
      </w:r>
      <w:proofErr w:type="spellStart"/>
      <w:r w:rsidRPr="000419C0">
        <w:rPr>
          <w:i/>
          <w:iCs/>
        </w:rPr>
        <w:t>praesenti</w:t>
      </w:r>
      <w:proofErr w:type="spellEnd"/>
      <w:r w:rsidRPr="000419C0">
        <w:rPr>
          <w:i/>
          <w:iCs/>
        </w:rPr>
        <w:t xml:space="preserve"> </w:t>
      </w:r>
      <w:proofErr w:type="spellStart"/>
      <w:r w:rsidRPr="000419C0">
        <w:rPr>
          <w:i/>
          <w:iCs/>
        </w:rPr>
        <w:t>die</w:t>
      </w:r>
      <w:proofErr w:type="spellEnd"/>
      <w:r w:rsidRPr="000419C0">
        <w:rPr>
          <w:i/>
          <w:iCs/>
        </w:rPr>
        <w:t xml:space="preserve"> </w:t>
      </w:r>
      <w:proofErr w:type="spellStart"/>
      <w:r w:rsidRPr="000419C0">
        <w:rPr>
          <w:i/>
          <w:iCs/>
        </w:rPr>
        <w:t>debetur</w:t>
      </w:r>
      <w:proofErr w:type="spellEnd"/>
      <w:r>
        <w:rPr>
          <w:i/>
          <w:iCs/>
        </w:rPr>
        <w:t xml:space="preserve"> </w:t>
      </w:r>
      <w:r>
        <w:t>(D. 50, 17, 14) – We wszystkich zobowiązaniach, do których nie dołączono terminu [świadczenia], należy się ono natychmiast</w:t>
      </w:r>
      <w:r w:rsidRPr="000419C0">
        <w:rPr>
          <w:i/>
          <w:iCs/>
        </w:rPr>
        <w:t xml:space="preserve">. </w:t>
      </w:r>
    </w:p>
    <w:p w14:paraId="7C744C9E" w14:textId="77777777" w:rsidR="000419C0" w:rsidRDefault="000419C0" w:rsidP="00906F84">
      <w:pPr>
        <w:rPr>
          <w:i/>
          <w:iCs/>
        </w:rPr>
      </w:pPr>
    </w:p>
    <w:p w14:paraId="3CF1D2CA" w14:textId="054FC74F" w:rsidR="00906F84" w:rsidRDefault="00906F84" w:rsidP="00906F84">
      <w:proofErr w:type="spellStart"/>
      <w:r w:rsidRPr="000641E0">
        <w:rPr>
          <w:i/>
          <w:iCs/>
        </w:rPr>
        <w:t>Commodum</w:t>
      </w:r>
      <w:proofErr w:type="spellEnd"/>
      <w:r w:rsidRPr="000641E0">
        <w:rPr>
          <w:i/>
          <w:iCs/>
        </w:rPr>
        <w:t xml:space="preserve"> </w:t>
      </w:r>
      <w:proofErr w:type="spellStart"/>
      <w:r w:rsidRPr="000641E0">
        <w:rPr>
          <w:i/>
          <w:iCs/>
        </w:rPr>
        <w:t>eius</w:t>
      </w:r>
      <w:proofErr w:type="spellEnd"/>
      <w:r w:rsidRPr="000641E0">
        <w:rPr>
          <w:i/>
          <w:iCs/>
        </w:rPr>
        <w:t xml:space="preserve"> </w:t>
      </w:r>
      <w:proofErr w:type="spellStart"/>
      <w:r w:rsidRPr="000641E0">
        <w:rPr>
          <w:i/>
          <w:iCs/>
        </w:rPr>
        <w:t>esse</w:t>
      </w:r>
      <w:proofErr w:type="spellEnd"/>
      <w:r w:rsidRPr="000641E0">
        <w:rPr>
          <w:i/>
          <w:iCs/>
        </w:rPr>
        <w:t xml:space="preserve"> debet, </w:t>
      </w:r>
      <w:proofErr w:type="spellStart"/>
      <w:r w:rsidRPr="000641E0">
        <w:rPr>
          <w:i/>
          <w:iCs/>
        </w:rPr>
        <w:t>cuius</w:t>
      </w:r>
      <w:proofErr w:type="spellEnd"/>
      <w:r w:rsidRPr="000641E0">
        <w:rPr>
          <w:i/>
          <w:iCs/>
        </w:rPr>
        <w:t xml:space="preserve"> </w:t>
      </w:r>
      <w:proofErr w:type="spellStart"/>
      <w:r w:rsidRPr="000641E0">
        <w:rPr>
          <w:i/>
          <w:iCs/>
        </w:rPr>
        <w:t>est</w:t>
      </w:r>
      <w:proofErr w:type="spellEnd"/>
      <w:r w:rsidRPr="000641E0">
        <w:rPr>
          <w:i/>
          <w:iCs/>
        </w:rPr>
        <w:t xml:space="preserve"> </w:t>
      </w:r>
      <w:proofErr w:type="spellStart"/>
      <w:r w:rsidRPr="000641E0">
        <w:rPr>
          <w:i/>
          <w:iCs/>
        </w:rPr>
        <w:t>periculum</w:t>
      </w:r>
      <w:proofErr w:type="spellEnd"/>
      <w:r w:rsidRPr="00906F84">
        <w:t xml:space="preserve"> </w:t>
      </w:r>
      <w:r w:rsidR="00BD1EA1">
        <w:t xml:space="preserve">(I. 3, 23, 3) </w:t>
      </w:r>
      <w:r w:rsidRPr="00906F84">
        <w:t>– korzyść musi przypadać temu, kto ponosi ryzyko</w:t>
      </w:r>
    </w:p>
    <w:p w14:paraId="23A724ED" w14:textId="5E405D41" w:rsidR="00906F84" w:rsidRDefault="00906F84" w:rsidP="00906F84"/>
    <w:p w14:paraId="6646798D" w14:textId="6190047B" w:rsidR="00906F84" w:rsidRPr="000419C0" w:rsidRDefault="000419C0" w:rsidP="00906F84">
      <w:proofErr w:type="spellStart"/>
      <w:r w:rsidRPr="000419C0">
        <w:rPr>
          <w:i/>
          <w:iCs/>
        </w:rPr>
        <w:t>creditorum</w:t>
      </w:r>
      <w:proofErr w:type="spellEnd"/>
      <w:r w:rsidRPr="000419C0">
        <w:rPr>
          <w:i/>
          <w:iCs/>
        </w:rPr>
        <w:t xml:space="preserve"> </w:t>
      </w:r>
      <w:proofErr w:type="spellStart"/>
      <w:r w:rsidRPr="000419C0">
        <w:rPr>
          <w:i/>
          <w:iCs/>
        </w:rPr>
        <w:t>appellatione</w:t>
      </w:r>
      <w:proofErr w:type="spellEnd"/>
      <w:r w:rsidRPr="000419C0">
        <w:rPr>
          <w:i/>
          <w:iCs/>
        </w:rPr>
        <w:t xml:space="preserve"> non hi tantum </w:t>
      </w:r>
      <w:proofErr w:type="spellStart"/>
      <w:r w:rsidRPr="000419C0">
        <w:rPr>
          <w:i/>
          <w:iCs/>
        </w:rPr>
        <w:t>accipiuntur</w:t>
      </w:r>
      <w:proofErr w:type="spellEnd"/>
      <w:r w:rsidRPr="000419C0">
        <w:rPr>
          <w:i/>
          <w:iCs/>
        </w:rPr>
        <w:t xml:space="preserve">, qui </w:t>
      </w:r>
      <w:proofErr w:type="spellStart"/>
      <w:r w:rsidRPr="000419C0">
        <w:rPr>
          <w:i/>
          <w:iCs/>
        </w:rPr>
        <w:t>pecuniam</w:t>
      </w:r>
      <w:proofErr w:type="spellEnd"/>
      <w:r w:rsidRPr="000419C0">
        <w:rPr>
          <w:i/>
          <w:iCs/>
        </w:rPr>
        <w:t xml:space="preserve"> </w:t>
      </w:r>
      <w:proofErr w:type="spellStart"/>
      <w:r w:rsidRPr="000419C0">
        <w:rPr>
          <w:i/>
          <w:iCs/>
        </w:rPr>
        <w:t>crediderunt</w:t>
      </w:r>
      <w:proofErr w:type="spellEnd"/>
      <w:r w:rsidRPr="000419C0">
        <w:rPr>
          <w:i/>
          <w:iCs/>
        </w:rPr>
        <w:t xml:space="preserve">, </w:t>
      </w:r>
      <w:proofErr w:type="spellStart"/>
      <w:r w:rsidRPr="000419C0">
        <w:rPr>
          <w:i/>
          <w:iCs/>
        </w:rPr>
        <w:t>sed</w:t>
      </w:r>
      <w:proofErr w:type="spellEnd"/>
      <w:r w:rsidRPr="000419C0">
        <w:rPr>
          <w:i/>
          <w:iCs/>
        </w:rPr>
        <w:t xml:space="preserve"> </w:t>
      </w:r>
      <w:proofErr w:type="spellStart"/>
      <w:r w:rsidRPr="000419C0">
        <w:rPr>
          <w:i/>
          <w:iCs/>
        </w:rPr>
        <w:t>omnes</w:t>
      </w:r>
      <w:proofErr w:type="spellEnd"/>
      <w:r w:rsidRPr="000419C0">
        <w:rPr>
          <w:i/>
          <w:iCs/>
        </w:rPr>
        <w:t xml:space="preserve">, </w:t>
      </w:r>
      <w:proofErr w:type="spellStart"/>
      <w:r w:rsidRPr="000419C0">
        <w:rPr>
          <w:i/>
          <w:iCs/>
        </w:rPr>
        <w:t>quibus</w:t>
      </w:r>
      <w:proofErr w:type="spellEnd"/>
      <w:r w:rsidRPr="000419C0">
        <w:rPr>
          <w:i/>
          <w:iCs/>
        </w:rPr>
        <w:t xml:space="preserve"> ex </w:t>
      </w:r>
      <w:proofErr w:type="spellStart"/>
      <w:r w:rsidRPr="000419C0">
        <w:rPr>
          <w:i/>
          <w:iCs/>
        </w:rPr>
        <w:t>qualibet</w:t>
      </w:r>
      <w:proofErr w:type="spellEnd"/>
      <w:r w:rsidRPr="000419C0">
        <w:rPr>
          <w:i/>
          <w:iCs/>
        </w:rPr>
        <w:t xml:space="preserve"> causa </w:t>
      </w:r>
      <w:proofErr w:type="spellStart"/>
      <w:r w:rsidRPr="000419C0">
        <w:rPr>
          <w:i/>
          <w:iCs/>
        </w:rPr>
        <w:t>debetur</w:t>
      </w:r>
      <w:proofErr w:type="spellEnd"/>
      <w:r>
        <w:rPr>
          <w:i/>
          <w:iCs/>
        </w:rPr>
        <w:t xml:space="preserve"> </w:t>
      </w:r>
      <w:r>
        <w:t>(D. 50, 16, 11) – wierzycielami określani są bowiem nie tylko ci, którzy pożyczyli komuś pieniądze, lecz wszyscy, którym należy się coś z jakiejkolwiek przyczyny.</w:t>
      </w:r>
    </w:p>
    <w:p w14:paraId="0236EAA8" w14:textId="0FD4D8C5" w:rsidR="000641E0" w:rsidRDefault="000641E0" w:rsidP="00906F84"/>
    <w:p w14:paraId="738CB7B6" w14:textId="3EF6D38F" w:rsidR="000641E0" w:rsidRPr="0042152B" w:rsidRDefault="000641E0" w:rsidP="00906F84">
      <w:proofErr w:type="spellStart"/>
      <w:r w:rsidRPr="000641E0">
        <w:rPr>
          <w:i/>
          <w:iCs/>
        </w:rPr>
        <w:t>Imperitia</w:t>
      </w:r>
      <w:proofErr w:type="spellEnd"/>
      <w:r w:rsidRPr="000641E0">
        <w:rPr>
          <w:i/>
          <w:iCs/>
        </w:rPr>
        <w:t xml:space="preserve"> </w:t>
      </w:r>
      <w:proofErr w:type="spellStart"/>
      <w:r w:rsidRPr="000641E0">
        <w:rPr>
          <w:i/>
          <w:iCs/>
        </w:rPr>
        <w:t>culpae</w:t>
      </w:r>
      <w:proofErr w:type="spellEnd"/>
      <w:r w:rsidRPr="000641E0">
        <w:rPr>
          <w:i/>
          <w:iCs/>
        </w:rPr>
        <w:t xml:space="preserve"> </w:t>
      </w:r>
      <w:proofErr w:type="spellStart"/>
      <w:r w:rsidRPr="000641E0">
        <w:rPr>
          <w:i/>
          <w:iCs/>
        </w:rPr>
        <w:t>adnumeratur</w:t>
      </w:r>
      <w:proofErr w:type="spellEnd"/>
      <w:r>
        <w:t xml:space="preserve"> (D. </w:t>
      </w:r>
      <w:r w:rsidRPr="000641E0">
        <w:t>50, 17, 132</w:t>
      </w:r>
      <w:r>
        <w:t>)</w:t>
      </w:r>
      <w:r w:rsidRPr="000641E0">
        <w:t xml:space="preserve"> – brak doświadczenia zalicza się do winy</w:t>
      </w:r>
    </w:p>
    <w:p w14:paraId="037CA71F" w14:textId="77777777" w:rsidR="00DC4788" w:rsidRDefault="00DC4788" w:rsidP="00DC4788">
      <w:pPr>
        <w:rPr>
          <w:bCs/>
          <w:i/>
          <w:iCs/>
          <w:lang w:val="it-IT"/>
        </w:rPr>
      </w:pPr>
    </w:p>
    <w:p w14:paraId="46C5381A" w14:textId="1706071A" w:rsidR="00D4019C" w:rsidRDefault="00D4019C" w:rsidP="00DC4788"/>
    <w:p w14:paraId="5D4B3920" w14:textId="1317B1E9" w:rsidR="00D4019C" w:rsidRDefault="00D4019C" w:rsidP="00DC4788">
      <w:pPr>
        <w:rPr>
          <w:b/>
          <w:bCs/>
        </w:rPr>
      </w:pPr>
      <w:r w:rsidRPr="00D4019C">
        <w:rPr>
          <w:b/>
          <w:bCs/>
        </w:rPr>
        <w:t>IV. Literatura</w:t>
      </w:r>
    </w:p>
    <w:p w14:paraId="0F1102F3" w14:textId="77777777" w:rsidR="00D4019C" w:rsidRPr="00D4019C" w:rsidRDefault="00D4019C" w:rsidP="00DC4788">
      <w:pPr>
        <w:rPr>
          <w:b/>
          <w:bCs/>
        </w:rPr>
      </w:pPr>
    </w:p>
    <w:p w14:paraId="5428117C" w14:textId="77777777" w:rsidR="0071181B" w:rsidRPr="0071181B" w:rsidRDefault="0071181B" w:rsidP="0071181B">
      <w:pPr>
        <w:rPr>
          <w:color w:val="000000"/>
          <w:bdr w:val="none" w:sz="0" w:space="0" w:color="auto" w:frame="1"/>
          <w:shd w:val="clear" w:color="auto" w:fill="FFFFFF"/>
        </w:rPr>
      </w:pPr>
      <w:r w:rsidRPr="0071181B">
        <w:rPr>
          <w:color w:val="000000"/>
          <w:bdr w:val="none" w:sz="0" w:space="0" w:color="auto" w:frame="1"/>
          <w:shd w:val="clear" w:color="auto" w:fill="FFFFFF"/>
        </w:rPr>
        <w:t>Kacprzak, A., Sprzedaż rzeczy kradzionej, „Zeszyty Prawnicze” 2.1 (2002), s. 93-104</w:t>
      </w:r>
    </w:p>
    <w:p w14:paraId="7A5CDDB0" w14:textId="77777777" w:rsidR="0071181B" w:rsidRPr="0071181B" w:rsidRDefault="0071181B" w:rsidP="0071181B">
      <w:pPr>
        <w:rPr>
          <w:color w:val="000000"/>
          <w:bdr w:val="none" w:sz="0" w:space="0" w:color="auto" w:frame="1"/>
          <w:shd w:val="clear" w:color="auto" w:fill="FFFFFF"/>
        </w:rPr>
      </w:pPr>
      <w:r w:rsidRPr="0071181B">
        <w:rPr>
          <w:color w:val="000000"/>
          <w:bdr w:val="none" w:sz="0" w:space="0" w:color="auto" w:frame="1"/>
          <w:shd w:val="clear" w:color="auto" w:fill="FFFFFF"/>
        </w:rPr>
        <w:t>https://bazhum.muzhp.pl/media/files/Zeszyty_Prawnicze/Zeszyty_Prawnicze-r2002-t2-n1/Zeszyty_Prawnicze-r2002-t2-n1-s93-104/Zeszyty_Prawnicze-r2002-t2-n1-s93-104.pdf</w:t>
      </w:r>
    </w:p>
    <w:p w14:paraId="56FD2D07" w14:textId="77777777" w:rsidR="0071181B" w:rsidRPr="0071181B" w:rsidRDefault="0071181B" w:rsidP="0071181B">
      <w:pPr>
        <w:rPr>
          <w:color w:val="000000"/>
          <w:bdr w:val="none" w:sz="0" w:space="0" w:color="auto" w:frame="1"/>
          <w:shd w:val="clear" w:color="auto" w:fill="FFFFFF"/>
        </w:rPr>
      </w:pPr>
    </w:p>
    <w:p w14:paraId="49B53F4F" w14:textId="77777777" w:rsidR="0071181B" w:rsidRPr="008E6779" w:rsidRDefault="0071181B" w:rsidP="0071181B">
      <w:pPr>
        <w:rPr>
          <w:bdr w:val="none" w:sz="0" w:space="0" w:color="auto" w:frame="1"/>
          <w:shd w:val="clear" w:color="auto" w:fill="FFFFFF"/>
        </w:rPr>
      </w:pPr>
      <w:r w:rsidRPr="008E6779">
        <w:rPr>
          <w:bdr w:val="none" w:sz="0" w:space="0" w:color="auto" w:frame="1"/>
          <w:shd w:val="clear" w:color="auto" w:fill="FFFFFF"/>
        </w:rPr>
        <w:t>Palmirski, T., Rzymskie korzenie regulacji prawnej zawartej w art. 433 k.c. w zakresie odpowiedzialności za szkodę wyrządzoną przez wyrzucenie, wylanie lub spadnięcie przedmiotu z pomieszczenia, „Palestra” 1998, 42/5-6 (485-486), s. 25-32</w:t>
      </w:r>
    </w:p>
    <w:p w14:paraId="4AC640EE" w14:textId="6198BFA2" w:rsidR="0071181B" w:rsidRPr="008E6779" w:rsidRDefault="00000000" w:rsidP="0071181B">
      <w:pPr>
        <w:rPr>
          <w:bdr w:val="none" w:sz="0" w:space="0" w:color="auto" w:frame="1"/>
          <w:shd w:val="clear" w:color="auto" w:fill="FFFFFF"/>
        </w:rPr>
      </w:pPr>
      <w:hyperlink r:id="rId5" w:history="1">
        <w:r w:rsidR="00823970" w:rsidRPr="008E6779">
          <w:rPr>
            <w:rStyle w:val="Hipercze"/>
            <w:color w:val="auto"/>
            <w:u w:val="none"/>
            <w:bdr w:val="none" w:sz="0" w:space="0" w:color="auto" w:frame="1"/>
            <w:shd w:val="clear" w:color="auto" w:fill="FFFFFF"/>
          </w:rPr>
          <w:t>https://bazhum.muzhp.pl/media/files/Palestra/Palestra-r1998-t42-n5_6(485_486)/Palestra-r1998-t42-n5_6(485_486)-s25-32/Palestra-r1998-t42-n5_6(485_486)-s25-32.pdf</w:t>
        </w:r>
      </w:hyperlink>
    </w:p>
    <w:p w14:paraId="3EFE5879" w14:textId="79DAB6F1" w:rsidR="00823970" w:rsidRPr="008E6779" w:rsidRDefault="00823970" w:rsidP="0071181B">
      <w:pPr>
        <w:rPr>
          <w:bdr w:val="none" w:sz="0" w:space="0" w:color="auto" w:frame="1"/>
          <w:shd w:val="clear" w:color="auto" w:fill="FFFFFF"/>
        </w:rPr>
      </w:pPr>
    </w:p>
    <w:p w14:paraId="56A9456B" w14:textId="2480A240" w:rsidR="00F7399D" w:rsidRPr="0071181B" w:rsidRDefault="00F7399D" w:rsidP="0071181B">
      <w:pPr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Święcicka, P., </w:t>
      </w:r>
      <w:r w:rsidRPr="00F7399D">
        <w:rPr>
          <w:color w:val="000000"/>
          <w:bdr w:val="none" w:sz="0" w:space="0" w:color="auto" w:frame="1"/>
          <w:shd w:val="clear" w:color="auto" w:fill="FFFFFF"/>
        </w:rPr>
        <w:t xml:space="preserve">Ekonomiczna analiza odpowiedzialności </w:t>
      </w:r>
      <w:proofErr w:type="spellStart"/>
      <w:r w:rsidRPr="00F7399D">
        <w:rPr>
          <w:color w:val="000000"/>
          <w:bdr w:val="none" w:sz="0" w:space="0" w:color="auto" w:frame="1"/>
          <w:shd w:val="clear" w:color="auto" w:fill="FFFFFF"/>
        </w:rPr>
        <w:t>akwiliańskiej</w:t>
      </w:r>
      <w:proofErr w:type="spellEnd"/>
      <w:r w:rsidRPr="00F7399D">
        <w:rPr>
          <w:color w:val="000000"/>
          <w:bdr w:val="none" w:sz="0" w:space="0" w:color="auto" w:frame="1"/>
          <w:shd w:val="clear" w:color="auto" w:fill="FFFFFF"/>
        </w:rPr>
        <w:t xml:space="preserve"> - paradoks czy nowa możliwość analizy antycznej regulacji prawne</w:t>
      </w:r>
      <w:r>
        <w:rPr>
          <w:color w:val="000000"/>
          <w:bdr w:val="none" w:sz="0" w:space="0" w:color="auto" w:frame="1"/>
          <w:shd w:val="clear" w:color="auto" w:fill="FFFFFF"/>
        </w:rPr>
        <w:t>, „Zeszyty Prawnicze” [UKSW] 6.1 (2006), s. 219-256</w:t>
      </w:r>
    </w:p>
    <w:p w14:paraId="5069D26A" w14:textId="31311F1B" w:rsidR="00D4019C" w:rsidRDefault="00F7399D" w:rsidP="00DC4788">
      <w:r w:rsidRPr="00F7399D">
        <w:t>https://bazhum.muzhp.pl/media/files/Zeszyty_Prawnicze/Zeszyty_Prawnicze-r2006-t6-n1/Zeszyty_Prawnicze-r2006-t6-n1-s219-256/Zeszyty_Prawnicze-r2006-t6-n1-s219-256.pdf</w:t>
      </w:r>
    </w:p>
    <w:p w14:paraId="0764C4E7" w14:textId="77777777" w:rsidR="00DC4788" w:rsidRPr="00163820" w:rsidRDefault="00DC4788" w:rsidP="00DC4788"/>
    <w:p w14:paraId="5592E47D" w14:textId="77777777" w:rsidR="00DC4788" w:rsidRPr="00496B6E" w:rsidRDefault="00DC4788" w:rsidP="00DC4788"/>
    <w:p w14:paraId="7F548499" w14:textId="30370423" w:rsidR="00DC4788" w:rsidRPr="0042152B" w:rsidRDefault="00DC4788" w:rsidP="00DC4788">
      <w:pPr>
        <w:rPr>
          <w:b/>
          <w:bCs/>
        </w:rPr>
      </w:pPr>
      <w:r w:rsidRPr="0042152B">
        <w:rPr>
          <w:b/>
          <w:bCs/>
        </w:rPr>
        <w:t xml:space="preserve">V. </w:t>
      </w:r>
      <w:r w:rsidR="0042152B">
        <w:rPr>
          <w:b/>
          <w:bCs/>
        </w:rPr>
        <w:t>Interpretacja tekst</w:t>
      </w:r>
      <w:r w:rsidR="00C37CA3">
        <w:rPr>
          <w:b/>
          <w:bCs/>
        </w:rPr>
        <w:t>ów</w:t>
      </w:r>
      <w:r w:rsidR="0042152B">
        <w:rPr>
          <w:b/>
          <w:bCs/>
        </w:rPr>
        <w:t xml:space="preserve"> źródłow</w:t>
      </w:r>
      <w:r w:rsidR="00C37CA3">
        <w:rPr>
          <w:b/>
          <w:bCs/>
        </w:rPr>
        <w:t>ych</w:t>
      </w:r>
      <w:r w:rsidRPr="0042152B">
        <w:rPr>
          <w:b/>
          <w:bCs/>
        </w:rPr>
        <w:t>:</w:t>
      </w:r>
    </w:p>
    <w:p w14:paraId="686FD5B8" w14:textId="7792946B" w:rsidR="00DC4788" w:rsidRDefault="00DC4788" w:rsidP="00DC4788">
      <w:pPr>
        <w:rPr>
          <w:color w:val="000000"/>
        </w:rPr>
      </w:pPr>
    </w:p>
    <w:p w14:paraId="46A0026E" w14:textId="77777777" w:rsidR="00C37CA3" w:rsidRPr="007862D4" w:rsidRDefault="00C37CA3" w:rsidP="00C37CA3">
      <w:pPr>
        <w:pStyle w:val="AKA---Kaz-0"/>
        <w:tabs>
          <w:tab w:val="clear" w:pos="624"/>
          <w:tab w:val="left" w:pos="0"/>
        </w:tabs>
        <w:spacing w:before="397"/>
        <w:ind w:left="0" w:firstLine="0"/>
        <w:rPr>
          <w:sz w:val="24"/>
          <w:szCs w:val="24"/>
          <w:lang w:val="en-US"/>
        </w:rPr>
      </w:pPr>
      <w:r w:rsidRPr="00F7136F">
        <w:rPr>
          <w:sz w:val="24"/>
          <w:szCs w:val="24"/>
        </w:rPr>
        <w:t xml:space="preserve">D. 19.1.6.4. </w:t>
      </w:r>
      <w:r w:rsidRPr="007862D4">
        <w:rPr>
          <w:i/>
          <w:iCs/>
          <w:sz w:val="24"/>
          <w:szCs w:val="24"/>
          <w:lang w:val="en-US"/>
        </w:rPr>
        <w:t xml:space="preserve">Pomponius, </w:t>
      </w:r>
      <w:proofErr w:type="spellStart"/>
      <w:r w:rsidRPr="007862D4">
        <w:rPr>
          <w:i/>
          <w:iCs/>
          <w:sz w:val="24"/>
          <w:szCs w:val="24"/>
          <w:lang w:val="en-US"/>
        </w:rPr>
        <w:t>libro</w:t>
      </w:r>
      <w:proofErr w:type="spellEnd"/>
      <w:r w:rsidRPr="007862D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iCs/>
          <w:sz w:val="24"/>
          <w:szCs w:val="24"/>
          <w:lang w:val="en-US"/>
        </w:rPr>
        <w:t>nono</w:t>
      </w:r>
      <w:proofErr w:type="spellEnd"/>
      <w:r w:rsidRPr="007862D4">
        <w:rPr>
          <w:i/>
          <w:iCs/>
          <w:sz w:val="24"/>
          <w:szCs w:val="24"/>
          <w:lang w:val="en-US"/>
        </w:rPr>
        <w:t xml:space="preserve"> ad </w:t>
      </w:r>
      <w:proofErr w:type="spellStart"/>
      <w:r w:rsidRPr="007862D4">
        <w:rPr>
          <w:i/>
          <w:iCs/>
          <w:sz w:val="24"/>
          <w:szCs w:val="24"/>
          <w:lang w:val="en-US"/>
        </w:rPr>
        <w:t>Sabinum</w:t>
      </w:r>
      <w:proofErr w:type="spellEnd"/>
      <w:r w:rsidRPr="007862D4">
        <w:rPr>
          <w:i/>
          <w:iCs/>
          <w:sz w:val="24"/>
          <w:szCs w:val="24"/>
          <w:lang w:val="en-US"/>
        </w:rPr>
        <w:t>.</w:t>
      </w:r>
      <w:r w:rsidRPr="007862D4">
        <w:rPr>
          <w:b/>
          <w:i/>
          <w:sz w:val="24"/>
          <w:szCs w:val="24"/>
          <w:lang w:val="en-US"/>
        </w:rPr>
        <w:t xml:space="preserve"> </w:t>
      </w:r>
      <w:r w:rsidRPr="007862D4">
        <w:rPr>
          <w:i/>
          <w:sz w:val="24"/>
          <w:szCs w:val="24"/>
          <w:lang w:val="en-US"/>
        </w:rPr>
        <w:t xml:space="preserve">Si vas </w:t>
      </w:r>
      <w:proofErr w:type="spellStart"/>
      <w:r w:rsidRPr="007862D4">
        <w:rPr>
          <w:i/>
          <w:sz w:val="24"/>
          <w:szCs w:val="24"/>
          <w:lang w:val="en-US"/>
        </w:rPr>
        <w:t>aliquod</w:t>
      </w:r>
      <w:proofErr w:type="spellEnd"/>
      <w:r w:rsidRPr="007862D4">
        <w:rPr>
          <w:i/>
          <w:sz w:val="24"/>
          <w:szCs w:val="24"/>
          <w:lang w:val="en-US"/>
        </w:rPr>
        <w:t xml:space="preserve"> mihi </w:t>
      </w:r>
      <w:proofErr w:type="spellStart"/>
      <w:r w:rsidRPr="007862D4">
        <w:rPr>
          <w:i/>
          <w:sz w:val="24"/>
          <w:szCs w:val="24"/>
          <w:lang w:val="en-US"/>
        </w:rPr>
        <w:t>vendideris</w:t>
      </w:r>
      <w:proofErr w:type="spellEnd"/>
      <w:r w:rsidRPr="007862D4">
        <w:rPr>
          <w:i/>
          <w:sz w:val="24"/>
          <w:szCs w:val="24"/>
          <w:lang w:val="en-US"/>
        </w:rPr>
        <w:t xml:space="preserve"> et </w:t>
      </w:r>
      <w:proofErr w:type="spellStart"/>
      <w:r w:rsidRPr="007862D4">
        <w:rPr>
          <w:i/>
          <w:sz w:val="24"/>
          <w:szCs w:val="24"/>
          <w:lang w:val="en-US"/>
        </w:rPr>
        <w:t>dixeris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certam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mensuram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capere</w:t>
      </w:r>
      <w:proofErr w:type="spellEnd"/>
      <w:r w:rsidRPr="007862D4">
        <w:rPr>
          <w:i/>
          <w:sz w:val="24"/>
          <w:szCs w:val="24"/>
          <w:lang w:val="en-US"/>
        </w:rPr>
        <w:t xml:space="preserve"> vel </w:t>
      </w:r>
      <w:proofErr w:type="spellStart"/>
      <w:r w:rsidRPr="007862D4">
        <w:rPr>
          <w:i/>
          <w:sz w:val="24"/>
          <w:szCs w:val="24"/>
          <w:lang w:val="en-US"/>
        </w:rPr>
        <w:t>certam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pondus</w:t>
      </w:r>
      <w:proofErr w:type="spellEnd"/>
      <w:r w:rsidRPr="007862D4">
        <w:rPr>
          <w:i/>
          <w:sz w:val="24"/>
          <w:szCs w:val="24"/>
          <w:lang w:val="en-US"/>
        </w:rPr>
        <w:t xml:space="preserve"> habere, ex </w:t>
      </w:r>
      <w:proofErr w:type="spellStart"/>
      <w:r w:rsidRPr="007862D4">
        <w:rPr>
          <w:i/>
          <w:sz w:val="24"/>
          <w:szCs w:val="24"/>
          <w:lang w:val="en-US"/>
        </w:rPr>
        <w:t>empto</w:t>
      </w:r>
      <w:proofErr w:type="spellEnd"/>
      <w:r w:rsidRPr="007862D4">
        <w:rPr>
          <w:i/>
          <w:sz w:val="24"/>
          <w:szCs w:val="24"/>
          <w:lang w:val="en-US"/>
        </w:rPr>
        <w:t xml:space="preserve"> tecum </w:t>
      </w:r>
      <w:proofErr w:type="spellStart"/>
      <w:r w:rsidRPr="007862D4">
        <w:rPr>
          <w:i/>
          <w:sz w:val="24"/>
          <w:szCs w:val="24"/>
          <w:lang w:val="en-US"/>
        </w:rPr>
        <w:t>agam</w:t>
      </w:r>
      <w:proofErr w:type="spellEnd"/>
      <w:r w:rsidRPr="007862D4">
        <w:rPr>
          <w:i/>
          <w:sz w:val="24"/>
          <w:szCs w:val="24"/>
          <w:lang w:val="en-US"/>
        </w:rPr>
        <w:t xml:space="preserve">, </w:t>
      </w:r>
      <w:proofErr w:type="spellStart"/>
      <w:r w:rsidRPr="007862D4">
        <w:rPr>
          <w:i/>
          <w:sz w:val="24"/>
          <w:szCs w:val="24"/>
          <w:lang w:val="en-US"/>
        </w:rPr>
        <w:t>si</w:t>
      </w:r>
      <w:proofErr w:type="spellEnd"/>
      <w:r w:rsidRPr="007862D4">
        <w:rPr>
          <w:i/>
          <w:sz w:val="24"/>
          <w:szCs w:val="24"/>
          <w:lang w:val="en-US"/>
        </w:rPr>
        <w:t xml:space="preserve"> minus </w:t>
      </w:r>
      <w:proofErr w:type="spellStart"/>
      <w:r w:rsidRPr="007862D4">
        <w:rPr>
          <w:i/>
          <w:sz w:val="24"/>
          <w:szCs w:val="24"/>
          <w:lang w:val="en-US"/>
        </w:rPr>
        <w:t>praestes</w:t>
      </w:r>
      <w:proofErr w:type="spellEnd"/>
      <w:r w:rsidRPr="007862D4">
        <w:rPr>
          <w:i/>
          <w:sz w:val="24"/>
          <w:szCs w:val="24"/>
          <w:lang w:val="en-US"/>
        </w:rPr>
        <w:t xml:space="preserve">. sed </w:t>
      </w:r>
      <w:proofErr w:type="spellStart"/>
      <w:r w:rsidRPr="007862D4">
        <w:rPr>
          <w:i/>
          <w:sz w:val="24"/>
          <w:szCs w:val="24"/>
          <w:lang w:val="en-US"/>
        </w:rPr>
        <w:t>si</w:t>
      </w:r>
      <w:proofErr w:type="spellEnd"/>
      <w:r w:rsidRPr="007862D4">
        <w:rPr>
          <w:i/>
          <w:sz w:val="24"/>
          <w:szCs w:val="24"/>
          <w:lang w:val="en-US"/>
        </w:rPr>
        <w:t xml:space="preserve"> vas mihi </w:t>
      </w:r>
      <w:proofErr w:type="spellStart"/>
      <w:r w:rsidRPr="007862D4">
        <w:rPr>
          <w:i/>
          <w:sz w:val="24"/>
          <w:szCs w:val="24"/>
          <w:lang w:val="en-US"/>
        </w:rPr>
        <w:t>vendideris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ita</w:t>
      </w:r>
      <w:proofErr w:type="spellEnd"/>
      <w:r w:rsidRPr="007862D4">
        <w:rPr>
          <w:i/>
          <w:sz w:val="24"/>
          <w:szCs w:val="24"/>
          <w:lang w:val="en-US"/>
        </w:rPr>
        <w:t xml:space="preserve">, </w:t>
      </w:r>
      <w:proofErr w:type="spellStart"/>
      <w:r w:rsidRPr="007862D4">
        <w:rPr>
          <w:i/>
          <w:sz w:val="24"/>
          <w:szCs w:val="24"/>
          <w:lang w:val="en-US"/>
        </w:rPr>
        <w:t>ut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affirmares</w:t>
      </w:r>
      <w:proofErr w:type="spellEnd"/>
      <w:r w:rsidRPr="007862D4">
        <w:rPr>
          <w:i/>
          <w:sz w:val="24"/>
          <w:szCs w:val="24"/>
          <w:lang w:val="en-US"/>
        </w:rPr>
        <w:t xml:space="preserve"> integrum, </w:t>
      </w:r>
      <w:proofErr w:type="spellStart"/>
      <w:r w:rsidRPr="007862D4">
        <w:rPr>
          <w:i/>
          <w:sz w:val="24"/>
          <w:szCs w:val="24"/>
          <w:lang w:val="en-US"/>
        </w:rPr>
        <w:t>si</w:t>
      </w:r>
      <w:proofErr w:type="spellEnd"/>
      <w:r w:rsidRPr="007862D4">
        <w:rPr>
          <w:i/>
          <w:sz w:val="24"/>
          <w:szCs w:val="24"/>
          <w:lang w:val="en-US"/>
        </w:rPr>
        <w:t xml:space="preserve"> id integrum non sit, </w:t>
      </w:r>
      <w:proofErr w:type="spellStart"/>
      <w:r w:rsidRPr="007862D4">
        <w:rPr>
          <w:i/>
          <w:sz w:val="24"/>
          <w:szCs w:val="24"/>
          <w:lang w:val="en-US"/>
        </w:rPr>
        <w:t>etiam</w:t>
      </w:r>
      <w:proofErr w:type="spellEnd"/>
      <w:r w:rsidRPr="007862D4">
        <w:rPr>
          <w:i/>
          <w:sz w:val="24"/>
          <w:szCs w:val="24"/>
          <w:lang w:val="en-US"/>
        </w:rPr>
        <w:t xml:space="preserve"> id, </w:t>
      </w:r>
      <w:proofErr w:type="spellStart"/>
      <w:r w:rsidRPr="007862D4">
        <w:rPr>
          <w:i/>
          <w:sz w:val="24"/>
          <w:szCs w:val="24"/>
          <w:lang w:val="en-US"/>
        </w:rPr>
        <w:t>quod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eo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nomine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perdiderim</w:t>
      </w:r>
      <w:proofErr w:type="spellEnd"/>
      <w:r w:rsidRPr="007862D4">
        <w:rPr>
          <w:i/>
          <w:sz w:val="24"/>
          <w:szCs w:val="24"/>
          <w:lang w:val="en-US"/>
        </w:rPr>
        <w:t xml:space="preserve">, </w:t>
      </w:r>
      <w:proofErr w:type="spellStart"/>
      <w:r w:rsidRPr="007862D4">
        <w:rPr>
          <w:i/>
          <w:sz w:val="24"/>
          <w:szCs w:val="24"/>
          <w:lang w:val="en-US"/>
        </w:rPr>
        <w:t>praestabis</w:t>
      </w:r>
      <w:proofErr w:type="spellEnd"/>
      <w:r w:rsidRPr="007862D4">
        <w:rPr>
          <w:i/>
          <w:sz w:val="24"/>
          <w:szCs w:val="24"/>
          <w:lang w:val="en-US"/>
        </w:rPr>
        <w:t xml:space="preserve">, mihi: </w:t>
      </w:r>
      <w:proofErr w:type="spellStart"/>
      <w:r w:rsidRPr="007862D4">
        <w:rPr>
          <w:i/>
          <w:sz w:val="24"/>
          <w:szCs w:val="24"/>
          <w:lang w:val="en-US"/>
        </w:rPr>
        <w:t>si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vero</w:t>
      </w:r>
      <w:proofErr w:type="spellEnd"/>
      <w:r w:rsidRPr="007862D4">
        <w:rPr>
          <w:i/>
          <w:sz w:val="24"/>
          <w:szCs w:val="24"/>
          <w:lang w:val="en-US"/>
        </w:rPr>
        <w:t xml:space="preserve"> non id </w:t>
      </w:r>
      <w:proofErr w:type="spellStart"/>
      <w:r w:rsidRPr="007862D4">
        <w:rPr>
          <w:i/>
          <w:sz w:val="24"/>
          <w:szCs w:val="24"/>
          <w:lang w:val="en-US"/>
        </w:rPr>
        <w:t>actum</w:t>
      </w:r>
      <w:proofErr w:type="spellEnd"/>
      <w:r w:rsidRPr="007862D4">
        <w:rPr>
          <w:i/>
          <w:sz w:val="24"/>
          <w:szCs w:val="24"/>
          <w:lang w:val="en-US"/>
        </w:rPr>
        <w:t xml:space="preserve"> sit, </w:t>
      </w:r>
      <w:proofErr w:type="spellStart"/>
      <w:r w:rsidRPr="007862D4">
        <w:rPr>
          <w:i/>
          <w:sz w:val="24"/>
          <w:szCs w:val="24"/>
          <w:lang w:val="en-US"/>
        </w:rPr>
        <w:t>ut</w:t>
      </w:r>
      <w:proofErr w:type="spellEnd"/>
      <w:r w:rsidRPr="007862D4">
        <w:rPr>
          <w:i/>
          <w:sz w:val="24"/>
          <w:szCs w:val="24"/>
          <w:lang w:val="en-US"/>
        </w:rPr>
        <w:t xml:space="preserve"> integrum </w:t>
      </w:r>
      <w:proofErr w:type="spellStart"/>
      <w:r w:rsidRPr="007862D4">
        <w:rPr>
          <w:i/>
          <w:sz w:val="24"/>
          <w:szCs w:val="24"/>
          <w:lang w:val="en-US"/>
        </w:rPr>
        <w:t>praestes</w:t>
      </w:r>
      <w:proofErr w:type="spellEnd"/>
      <w:r w:rsidRPr="007862D4">
        <w:rPr>
          <w:i/>
          <w:sz w:val="24"/>
          <w:szCs w:val="24"/>
          <w:lang w:val="en-US"/>
        </w:rPr>
        <w:t xml:space="preserve">, </w:t>
      </w:r>
      <w:proofErr w:type="spellStart"/>
      <w:r w:rsidRPr="007862D4">
        <w:rPr>
          <w:i/>
          <w:sz w:val="24"/>
          <w:szCs w:val="24"/>
          <w:lang w:val="en-US"/>
        </w:rPr>
        <w:t>dolum</w:t>
      </w:r>
      <w:proofErr w:type="spellEnd"/>
      <w:r w:rsidRPr="007862D4">
        <w:rPr>
          <w:i/>
          <w:sz w:val="24"/>
          <w:szCs w:val="24"/>
          <w:lang w:val="en-US"/>
        </w:rPr>
        <w:t xml:space="preserve"> malum </w:t>
      </w:r>
      <w:proofErr w:type="spellStart"/>
      <w:r w:rsidRPr="007862D4">
        <w:rPr>
          <w:i/>
          <w:sz w:val="24"/>
          <w:szCs w:val="24"/>
          <w:lang w:val="en-US"/>
        </w:rPr>
        <w:t>dumtaxat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praestare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te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debere</w:t>
      </w:r>
      <w:proofErr w:type="spellEnd"/>
      <w:r w:rsidRPr="007862D4">
        <w:rPr>
          <w:i/>
          <w:sz w:val="24"/>
          <w:szCs w:val="24"/>
          <w:lang w:val="en-US"/>
        </w:rPr>
        <w:t xml:space="preserve">. </w:t>
      </w:r>
      <w:proofErr w:type="spellStart"/>
      <w:r w:rsidRPr="007862D4">
        <w:rPr>
          <w:i/>
          <w:sz w:val="24"/>
          <w:szCs w:val="24"/>
          <w:lang w:val="en-US"/>
        </w:rPr>
        <w:t>Labeo</w:t>
      </w:r>
      <w:proofErr w:type="spellEnd"/>
      <w:r w:rsidRPr="007862D4">
        <w:rPr>
          <w:i/>
          <w:sz w:val="24"/>
          <w:szCs w:val="24"/>
          <w:lang w:val="en-US"/>
        </w:rPr>
        <w:t xml:space="preserve"> contra </w:t>
      </w:r>
      <w:proofErr w:type="spellStart"/>
      <w:r w:rsidRPr="007862D4">
        <w:rPr>
          <w:i/>
          <w:sz w:val="24"/>
          <w:szCs w:val="24"/>
          <w:lang w:val="en-US"/>
        </w:rPr>
        <w:t>putat</w:t>
      </w:r>
      <w:proofErr w:type="spellEnd"/>
      <w:r w:rsidRPr="007862D4">
        <w:rPr>
          <w:i/>
          <w:sz w:val="24"/>
          <w:szCs w:val="24"/>
          <w:lang w:val="en-US"/>
        </w:rPr>
        <w:t xml:space="preserve"> et </w:t>
      </w:r>
      <w:proofErr w:type="spellStart"/>
      <w:r w:rsidRPr="007862D4">
        <w:rPr>
          <w:i/>
          <w:sz w:val="24"/>
          <w:szCs w:val="24"/>
          <w:lang w:val="en-US"/>
        </w:rPr>
        <w:t>illud</w:t>
      </w:r>
      <w:proofErr w:type="spellEnd"/>
      <w:r w:rsidRPr="007862D4">
        <w:rPr>
          <w:i/>
          <w:sz w:val="24"/>
          <w:szCs w:val="24"/>
          <w:lang w:val="en-US"/>
        </w:rPr>
        <w:t xml:space="preserve"> solum </w:t>
      </w:r>
      <w:proofErr w:type="spellStart"/>
      <w:r w:rsidRPr="007862D4">
        <w:rPr>
          <w:i/>
          <w:sz w:val="24"/>
          <w:szCs w:val="24"/>
          <w:lang w:val="en-US"/>
        </w:rPr>
        <w:t>observandum</w:t>
      </w:r>
      <w:proofErr w:type="spellEnd"/>
      <w:r w:rsidRPr="007862D4">
        <w:rPr>
          <w:i/>
          <w:sz w:val="24"/>
          <w:szCs w:val="24"/>
          <w:lang w:val="en-US"/>
        </w:rPr>
        <w:t xml:space="preserve">, </w:t>
      </w:r>
      <w:proofErr w:type="spellStart"/>
      <w:r w:rsidRPr="007862D4">
        <w:rPr>
          <w:i/>
          <w:sz w:val="24"/>
          <w:szCs w:val="24"/>
          <w:lang w:val="en-US"/>
        </w:rPr>
        <w:t>ut</w:t>
      </w:r>
      <w:proofErr w:type="spellEnd"/>
      <w:r w:rsidRPr="007862D4">
        <w:rPr>
          <w:i/>
          <w:sz w:val="24"/>
          <w:szCs w:val="24"/>
          <w:lang w:val="en-US"/>
        </w:rPr>
        <w:t xml:space="preserve">, nisi in </w:t>
      </w:r>
      <w:proofErr w:type="spellStart"/>
      <w:r w:rsidRPr="007862D4">
        <w:rPr>
          <w:i/>
          <w:sz w:val="24"/>
          <w:szCs w:val="24"/>
          <w:lang w:val="en-US"/>
        </w:rPr>
        <w:t>contrarium</w:t>
      </w:r>
      <w:proofErr w:type="spellEnd"/>
      <w:r w:rsidRPr="007862D4">
        <w:rPr>
          <w:i/>
          <w:sz w:val="24"/>
          <w:szCs w:val="24"/>
          <w:lang w:val="en-US"/>
        </w:rPr>
        <w:t xml:space="preserve"> id </w:t>
      </w:r>
      <w:proofErr w:type="spellStart"/>
      <w:r w:rsidRPr="007862D4">
        <w:rPr>
          <w:i/>
          <w:sz w:val="24"/>
          <w:szCs w:val="24"/>
          <w:lang w:val="en-US"/>
        </w:rPr>
        <w:t>actum</w:t>
      </w:r>
      <w:proofErr w:type="spellEnd"/>
      <w:r w:rsidRPr="007862D4">
        <w:rPr>
          <w:i/>
          <w:sz w:val="24"/>
          <w:szCs w:val="24"/>
          <w:lang w:val="en-US"/>
        </w:rPr>
        <w:t xml:space="preserve"> sit, </w:t>
      </w:r>
      <w:proofErr w:type="spellStart"/>
      <w:r w:rsidRPr="007862D4">
        <w:rPr>
          <w:i/>
          <w:sz w:val="24"/>
          <w:szCs w:val="24"/>
          <w:lang w:val="en-US"/>
        </w:rPr>
        <w:t>omnimodo</w:t>
      </w:r>
      <w:proofErr w:type="spellEnd"/>
      <w:r w:rsidRPr="007862D4">
        <w:rPr>
          <w:i/>
          <w:sz w:val="24"/>
          <w:szCs w:val="24"/>
          <w:lang w:val="en-US"/>
        </w:rPr>
        <w:t xml:space="preserve"> integrum </w:t>
      </w:r>
      <w:proofErr w:type="spellStart"/>
      <w:r w:rsidRPr="007862D4">
        <w:rPr>
          <w:i/>
          <w:sz w:val="24"/>
          <w:szCs w:val="24"/>
          <w:lang w:val="en-US"/>
        </w:rPr>
        <w:t>praestari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debeat</w:t>
      </w:r>
      <w:proofErr w:type="spellEnd"/>
      <w:r w:rsidRPr="007862D4">
        <w:rPr>
          <w:i/>
          <w:sz w:val="24"/>
          <w:szCs w:val="24"/>
          <w:lang w:val="en-US"/>
        </w:rPr>
        <w:t xml:space="preserve">: et </w:t>
      </w:r>
      <w:proofErr w:type="spellStart"/>
      <w:r w:rsidRPr="007862D4">
        <w:rPr>
          <w:i/>
          <w:sz w:val="24"/>
          <w:szCs w:val="24"/>
          <w:lang w:val="en-US"/>
        </w:rPr>
        <w:t>est</w:t>
      </w:r>
      <w:proofErr w:type="spellEnd"/>
      <w:r w:rsidRPr="007862D4">
        <w:rPr>
          <w:i/>
          <w:sz w:val="24"/>
          <w:szCs w:val="24"/>
          <w:lang w:val="en-US"/>
        </w:rPr>
        <w:t xml:space="preserve"> verum. </w:t>
      </w:r>
      <w:proofErr w:type="spellStart"/>
      <w:r w:rsidRPr="007862D4">
        <w:rPr>
          <w:i/>
          <w:sz w:val="24"/>
          <w:szCs w:val="24"/>
          <w:lang w:val="en-US"/>
        </w:rPr>
        <w:t>quod</w:t>
      </w:r>
      <w:proofErr w:type="spellEnd"/>
      <w:r w:rsidRPr="007862D4">
        <w:rPr>
          <w:i/>
          <w:sz w:val="24"/>
          <w:szCs w:val="24"/>
          <w:lang w:val="en-US"/>
        </w:rPr>
        <w:t xml:space="preserve"> et in </w:t>
      </w:r>
      <w:proofErr w:type="spellStart"/>
      <w:r w:rsidRPr="007862D4">
        <w:rPr>
          <w:i/>
          <w:sz w:val="24"/>
          <w:szCs w:val="24"/>
          <w:lang w:val="en-US"/>
        </w:rPr>
        <w:t>locatis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doliis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praestandum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Sabinum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respondisse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Minicius</w:t>
      </w:r>
      <w:proofErr w:type="spellEnd"/>
      <w:r w:rsidRPr="007862D4">
        <w:rPr>
          <w:i/>
          <w:sz w:val="24"/>
          <w:szCs w:val="24"/>
          <w:lang w:val="en-US"/>
        </w:rPr>
        <w:t xml:space="preserve"> </w:t>
      </w:r>
      <w:proofErr w:type="spellStart"/>
      <w:r w:rsidRPr="007862D4">
        <w:rPr>
          <w:i/>
          <w:sz w:val="24"/>
          <w:szCs w:val="24"/>
          <w:lang w:val="en-US"/>
        </w:rPr>
        <w:t>refert</w:t>
      </w:r>
      <w:proofErr w:type="spellEnd"/>
      <w:r w:rsidRPr="007862D4">
        <w:rPr>
          <w:i/>
          <w:sz w:val="24"/>
          <w:szCs w:val="24"/>
          <w:lang w:val="en-US"/>
        </w:rPr>
        <w:t>.</w:t>
      </w:r>
    </w:p>
    <w:p w14:paraId="038A05B0" w14:textId="77777777" w:rsidR="00C37CA3" w:rsidRPr="00F7136F" w:rsidRDefault="00C37CA3" w:rsidP="00C37CA3">
      <w:pPr>
        <w:pStyle w:val="AKA---Kazus"/>
        <w:tabs>
          <w:tab w:val="clear" w:pos="624"/>
          <w:tab w:val="left" w:pos="0"/>
        </w:tabs>
        <w:spacing w:before="130"/>
        <w:ind w:left="0"/>
        <w:rPr>
          <w:sz w:val="24"/>
          <w:szCs w:val="24"/>
        </w:rPr>
      </w:pPr>
      <w:proofErr w:type="spellStart"/>
      <w:r w:rsidRPr="00F7136F">
        <w:rPr>
          <w:sz w:val="24"/>
          <w:szCs w:val="24"/>
        </w:rPr>
        <w:t>Pomponius</w:t>
      </w:r>
      <w:proofErr w:type="spellEnd"/>
      <w:r w:rsidRPr="00F7136F">
        <w:rPr>
          <w:sz w:val="24"/>
          <w:szCs w:val="24"/>
        </w:rPr>
        <w:t xml:space="preserve">, </w:t>
      </w:r>
      <w:r>
        <w:rPr>
          <w:sz w:val="24"/>
          <w:szCs w:val="24"/>
        </w:rPr>
        <w:t>w księdze dziewiątej</w:t>
      </w:r>
      <w:r w:rsidRPr="00F7136F">
        <w:rPr>
          <w:sz w:val="24"/>
          <w:szCs w:val="24"/>
        </w:rPr>
        <w:t xml:space="preserve"> komentarza do dzieł </w:t>
      </w:r>
      <w:proofErr w:type="spellStart"/>
      <w:r w:rsidRPr="00F7136F">
        <w:rPr>
          <w:sz w:val="24"/>
          <w:szCs w:val="24"/>
        </w:rPr>
        <w:t>Sabinusa</w:t>
      </w:r>
      <w:proofErr w:type="spellEnd"/>
      <w:r w:rsidRPr="00F7136F">
        <w:rPr>
          <w:sz w:val="24"/>
          <w:szCs w:val="24"/>
        </w:rPr>
        <w:t xml:space="preserve">. Jeśli byś mi sprzedał mi jakieś naczynie i powiedział, że obejmuje [ono] określoną miarę, lub ma określony ciężar, to wystąpię [przeciwko tobie] z powództwem z tytułu kupna, jeśli świadczyłeś mniej. Lecz jeśli byś sprzedał mi naczynie, zapewniając, że jest ono nienaruszone, to jeśli byłoby ono naruszone, </w:t>
      </w:r>
      <w:r w:rsidRPr="00F7136F">
        <w:rPr>
          <w:sz w:val="24"/>
          <w:szCs w:val="24"/>
        </w:rPr>
        <w:lastRenderedPageBreak/>
        <w:t xml:space="preserve">będziesz musiał mi świadczyć także to, co straciłem z tego powodu. Jeżeli nie byłoby [zapewnienia], że będziesz świadczył naczynie nienaruszone, to będziesz odpowiadał z tytułu winy umyślnej. </w:t>
      </w:r>
      <w:proofErr w:type="spellStart"/>
      <w:r w:rsidRPr="00F7136F">
        <w:rPr>
          <w:sz w:val="24"/>
          <w:szCs w:val="24"/>
        </w:rPr>
        <w:t>Labeo</w:t>
      </w:r>
      <w:proofErr w:type="spellEnd"/>
      <w:r w:rsidRPr="00F7136F">
        <w:rPr>
          <w:sz w:val="24"/>
          <w:szCs w:val="24"/>
        </w:rPr>
        <w:t xml:space="preserve"> uważa przeciwnie, iż to tylko należy mieć na uwadze, gdy nic innego nie zastrzeżono, że w każdym przypadku powinno być świadczone [naczynie] nienaruszone. I to jest prawdą. To także dotyczy wynajmowanych beczek, na co wskazuje przekazany przez </w:t>
      </w:r>
      <w:proofErr w:type="spellStart"/>
      <w:r w:rsidRPr="00F7136F">
        <w:rPr>
          <w:sz w:val="24"/>
          <w:szCs w:val="24"/>
        </w:rPr>
        <w:t>Miniciusa</w:t>
      </w:r>
      <w:proofErr w:type="spellEnd"/>
      <w:r w:rsidRPr="00F7136F">
        <w:rPr>
          <w:sz w:val="24"/>
          <w:szCs w:val="24"/>
        </w:rPr>
        <w:t xml:space="preserve"> [pogląd] </w:t>
      </w:r>
      <w:proofErr w:type="spellStart"/>
      <w:r w:rsidRPr="00F7136F">
        <w:rPr>
          <w:sz w:val="24"/>
          <w:szCs w:val="24"/>
        </w:rPr>
        <w:t>Sabinusa</w:t>
      </w:r>
      <w:proofErr w:type="spellEnd"/>
      <w:r w:rsidRPr="00F7136F">
        <w:rPr>
          <w:sz w:val="24"/>
          <w:szCs w:val="24"/>
        </w:rPr>
        <w:t>.</w:t>
      </w:r>
    </w:p>
    <w:p w14:paraId="4D54BB3D" w14:textId="77777777" w:rsidR="00C37CA3" w:rsidRPr="0042152B" w:rsidRDefault="00C37CA3" w:rsidP="00DC4788">
      <w:pPr>
        <w:rPr>
          <w:color w:val="000000"/>
        </w:rPr>
      </w:pPr>
    </w:p>
    <w:p w14:paraId="7E58092A" w14:textId="77777777" w:rsidR="00763403" w:rsidRPr="007862D4" w:rsidRDefault="00763403" w:rsidP="00763403">
      <w:pPr>
        <w:pStyle w:val="AKA---Kaz-0"/>
        <w:tabs>
          <w:tab w:val="clear" w:pos="624"/>
          <w:tab w:val="left" w:pos="0"/>
        </w:tabs>
        <w:ind w:left="0" w:firstLine="0"/>
        <w:rPr>
          <w:sz w:val="24"/>
          <w:szCs w:val="24"/>
          <w:lang w:val="en-US"/>
        </w:rPr>
      </w:pPr>
      <w:r w:rsidRPr="00F7136F">
        <w:rPr>
          <w:sz w:val="24"/>
          <w:szCs w:val="24"/>
          <w:lang w:val="es-ES_tradnl"/>
        </w:rPr>
        <w:t xml:space="preserve">D. 9.2.11 pr. </w:t>
      </w:r>
      <w:r w:rsidRPr="00F7136F">
        <w:rPr>
          <w:i/>
          <w:iCs/>
          <w:sz w:val="24"/>
          <w:szCs w:val="24"/>
          <w:lang w:val="es-ES_tradnl"/>
        </w:rPr>
        <w:t>Ulpianus,</w:t>
      </w:r>
      <w:r w:rsidRPr="00F7136F">
        <w:rPr>
          <w:sz w:val="24"/>
          <w:szCs w:val="24"/>
          <w:lang w:val="es-ES_tradnl"/>
        </w:rPr>
        <w:t xml:space="preserve"> </w:t>
      </w:r>
      <w:r w:rsidRPr="00F7136F">
        <w:rPr>
          <w:i/>
          <w:sz w:val="24"/>
          <w:szCs w:val="24"/>
          <w:lang w:val="es-ES_tradnl"/>
        </w:rPr>
        <w:t>libro octavo decimo ad edictum.</w:t>
      </w:r>
      <w:r w:rsidRPr="00F7136F">
        <w:rPr>
          <w:sz w:val="24"/>
          <w:szCs w:val="24"/>
          <w:lang w:val="es-ES_tradnl"/>
        </w:rPr>
        <w:t xml:space="preserve"> </w:t>
      </w:r>
      <w:r w:rsidRPr="00F7136F">
        <w:rPr>
          <w:i/>
          <w:sz w:val="24"/>
          <w:szCs w:val="24"/>
          <w:lang w:val="es-ES_tradnl"/>
        </w:rPr>
        <w:t>Item Mela scribit, si, cum pila quidam luderent, vehementius quis pila percussa in tonsoris manus eam deiecerit et sic servi, quem tonsor habebat, gula sit praecisa adiecto cultello: in quocumque eorum culpa sit, eum lege Aquilia teneri. Proculus in tonsore esse culpam: et sane si ibi tondebat, ubi ex consuetudine ludebatur vel ubi transitus frequens erat, est quod ei imputetur: quamvis nec illud male dicatur, si in loco periculoso sellam habenti tonsori se quis commiserit, ipsum de se queri debere.</w:t>
      </w:r>
    </w:p>
    <w:p w14:paraId="1264921D" w14:textId="77777777" w:rsidR="00763403" w:rsidRPr="00F7136F" w:rsidRDefault="00763403" w:rsidP="00763403">
      <w:pPr>
        <w:pStyle w:val="AKA---Kazus"/>
        <w:tabs>
          <w:tab w:val="clear" w:pos="624"/>
          <w:tab w:val="left" w:pos="0"/>
        </w:tabs>
        <w:ind w:left="0"/>
        <w:rPr>
          <w:b/>
          <w:sz w:val="24"/>
          <w:szCs w:val="24"/>
        </w:rPr>
      </w:pPr>
      <w:proofErr w:type="spellStart"/>
      <w:r w:rsidRPr="00F7136F">
        <w:rPr>
          <w:sz w:val="24"/>
          <w:szCs w:val="24"/>
        </w:rPr>
        <w:t>Ulpian</w:t>
      </w:r>
      <w:proofErr w:type="spellEnd"/>
      <w:r w:rsidRPr="00F713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</w:t>
      </w:r>
      <w:r w:rsidRPr="00F7136F">
        <w:rPr>
          <w:sz w:val="24"/>
          <w:szCs w:val="24"/>
        </w:rPr>
        <w:t>księ</w:t>
      </w:r>
      <w:r>
        <w:rPr>
          <w:sz w:val="24"/>
          <w:szCs w:val="24"/>
        </w:rPr>
        <w:t>dze osiemnastej</w:t>
      </w:r>
      <w:r w:rsidRPr="00F7136F">
        <w:rPr>
          <w:sz w:val="24"/>
          <w:szCs w:val="24"/>
        </w:rPr>
        <w:t xml:space="preserve"> komentarza do edyktu.</w:t>
      </w:r>
      <w:r w:rsidRPr="00F7136F">
        <w:rPr>
          <w:sz w:val="24"/>
          <w:szCs w:val="24"/>
        </w:rPr>
        <w:tab/>
        <w:t xml:space="preserve"> Podobnie pisze </w:t>
      </w:r>
      <w:proofErr w:type="spellStart"/>
      <w:r w:rsidRPr="00F7136F">
        <w:rPr>
          <w:sz w:val="24"/>
          <w:szCs w:val="24"/>
        </w:rPr>
        <w:t>Mella</w:t>
      </w:r>
      <w:proofErr w:type="spellEnd"/>
      <w:r w:rsidRPr="00F7136F">
        <w:rPr>
          <w:sz w:val="24"/>
          <w:szCs w:val="24"/>
        </w:rPr>
        <w:t xml:space="preserve">, że jeśli podczas gry w piłkę ktoś, rzuciwszy piłką, trafiłby nią w rękę golibrody i przez to, wskutek uderzenia, zostałoby przecięte gardło niewolnika, którego golibroda golił, ktokolwiek z nich jest winny, ten podlega ustawie </w:t>
      </w:r>
      <w:proofErr w:type="spellStart"/>
      <w:r w:rsidRPr="00F7136F">
        <w:rPr>
          <w:sz w:val="24"/>
          <w:szCs w:val="24"/>
        </w:rPr>
        <w:t>akwiliańskiej</w:t>
      </w:r>
      <w:proofErr w:type="spellEnd"/>
      <w:r w:rsidRPr="00F7136F">
        <w:rPr>
          <w:sz w:val="24"/>
          <w:szCs w:val="24"/>
        </w:rPr>
        <w:t xml:space="preserve">. </w:t>
      </w:r>
      <w:proofErr w:type="spellStart"/>
      <w:r w:rsidRPr="00F7136F">
        <w:rPr>
          <w:sz w:val="24"/>
          <w:szCs w:val="24"/>
        </w:rPr>
        <w:t>Proculus</w:t>
      </w:r>
      <w:proofErr w:type="spellEnd"/>
      <w:r w:rsidRPr="00F7136F">
        <w:rPr>
          <w:sz w:val="24"/>
          <w:szCs w:val="24"/>
        </w:rPr>
        <w:t xml:space="preserve"> [uważa], że winny jest golibroda, skoro golił tam, gdzie zwykło się grać, albo gdzie często przechodzono, i jest o co go oskarżać. A z drugiej strony ma rację ten, kto mówi, że powinien sam na siebie żalić się ten, kto powierza swoją szyję temu golibrodzie, który ma krzesło w niebezpiecznym miejscu.</w:t>
      </w:r>
    </w:p>
    <w:p w14:paraId="23748199" w14:textId="37FCCC6B" w:rsidR="00274F3F" w:rsidRDefault="00274F3F" w:rsidP="00970582"/>
    <w:p w14:paraId="783AFC02" w14:textId="77777777" w:rsidR="00C37CA3" w:rsidRDefault="00C37CA3" w:rsidP="00970582"/>
    <w:p w14:paraId="5EEEF953" w14:textId="6FB5907A" w:rsidR="00970582" w:rsidRPr="00274F3F" w:rsidRDefault="00970582" w:rsidP="00970582">
      <w:pPr>
        <w:rPr>
          <w:b/>
          <w:bCs/>
        </w:rPr>
      </w:pPr>
      <w:r w:rsidRPr="00274F3F">
        <w:rPr>
          <w:b/>
          <w:bCs/>
        </w:rPr>
        <w:t>Schemat interpretacji tekstu źródłowego</w:t>
      </w:r>
    </w:p>
    <w:p w14:paraId="10DFC12B" w14:textId="77777777" w:rsidR="00970582" w:rsidRDefault="00970582" w:rsidP="00970582"/>
    <w:p w14:paraId="73024FA8" w14:textId="77777777" w:rsidR="00970582" w:rsidRDefault="00970582" w:rsidP="00970582">
      <w:r>
        <w:t>Do interpretacji tekstu niezbędne są materiały pomocnicze zamieszczone na stronie internetowej Zakładu Prawa Rzymskiego.</w:t>
      </w:r>
    </w:p>
    <w:p w14:paraId="3AB6D359" w14:textId="77777777" w:rsidR="00970582" w:rsidRDefault="00970582" w:rsidP="00970582"/>
    <w:p w14:paraId="12D6C5CA" w14:textId="77777777" w:rsidR="00970582" w:rsidRDefault="00970582" w:rsidP="00970582">
      <w:r>
        <w:t>Interpretacji tekstu źródłowego dokonujemy w oparciu o przedstawiony niżej schemat. Schemat odnosi się do kontekstu źródłowego oraz elementów ważnych w pracy prawnika: ustalenie stanu faktycznego, ustalenie stanu prawnego, ważenie interesów i wartości, rozstrzygnięcie oraz jego uzasadnienie.</w:t>
      </w:r>
    </w:p>
    <w:p w14:paraId="546EA2A9" w14:textId="77777777" w:rsidR="00970582" w:rsidRDefault="00970582" w:rsidP="00970582"/>
    <w:p w14:paraId="7895206A" w14:textId="77777777" w:rsidR="00970582" w:rsidRDefault="00970582" w:rsidP="00970582"/>
    <w:p w14:paraId="0C098004" w14:textId="77777777" w:rsidR="00970582" w:rsidRDefault="00970582" w:rsidP="00970582">
      <w:r>
        <w:t xml:space="preserve">1) Kontekst źródłowy. Określenie miejsca tekstu w dyskusji prawników rzymskich (miejsce w tekście źródłowym oraz informacja podana w </w:t>
      </w:r>
      <w:proofErr w:type="spellStart"/>
      <w:r>
        <w:t>inscriptio</w:t>
      </w:r>
      <w:proofErr w:type="spellEnd"/>
      <w:r>
        <w:t xml:space="preserve"> plus informacje o jurystach – niekiedy informacje w tekście).</w:t>
      </w:r>
    </w:p>
    <w:p w14:paraId="6380D685" w14:textId="77777777" w:rsidR="00970582" w:rsidRDefault="00970582" w:rsidP="00970582"/>
    <w:p w14:paraId="60B28794" w14:textId="77777777" w:rsidR="00970582" w:rsidRDefault="00970582" w:rsidP="00970582">
      <w:r>
        <w:t>2) Rekonstrukcja omawianego w tekście stanu faktycznego (rzeczywisty lub hipotetyczny stan faktyczny).</w:t>
      </w:r>
    </w:p>
    <w:p w14:paraId="3C081BBF" w14:textId="77777777" w:rsidR="00970582" w:rsidRDefault="00970582" w:rsidP="00970582"/>
    <w:p w14:paraId="1E1D4634" w14:textId="77777777" w:rsidR="00970582" w:rsidRDefault="00970582" w:rsidP="00970582">
      <w:r>
        <w:t>3) Wskazanie problemu prawnego będącego przedmiotem oceny (kwestia niejasna, dyskusyjna).</w:t>
      </w:r>
    </w:p>
    <w:p w14:paraId="641B0E3B" w14:textId="77777777" w:rsidR="00970582" w:rsidRDefault="00970582" w:rsidP="00970582"/>
    <w:p w14:paraId="7CFDE95D" w14:textId="77777777" w:rsidR="00970582" w:rsidRDefault="00970582" w:rsidP="00970582">
      <w:r>
        <w:t>4) Nazwanie zasad rozstrzygnięcia (</w:t>
      </w:r>
      <w:proofErr w:type="spellStart"/>
      <w:r>
        <w:t>rationes</w:t>
      </w:r>
      <w:proofErr w:type="spellEnd"/>
      <w:r>
        <w:t xml:space="preserve"> </w:t>
      </w:r>
      <w:proofErr w:type="spellStart"/>
      <w:r>
        <w:t>decidendi</w:t>
      </w:r>
      <w:proofErr w:type="spellEnd"/>
      <w:r>
        <w:t>) przyjętych przez jurystów oraz ich ocena plus znaczenie oraz wykorzystanie w tradycji romanistycznej.</w:t>
      </w:r>
    </w:p>
    <w:p w14:paraId="33EE7F42" w14:textId="77777777" w:rsidR="00970582" w:rsidRDefault="00970582" w:rsidP="00970582"/>
    <w:p w14:paraId="5F94E529" w14:textId="77777777" w:rsidR="00970582" w:rsidRDefault="00970582" w:rsidP="00970582">
      <w:r>
        <w:t xml:space="preserve">Ad. 1 Kontekst źródłowy - polega na podaniu podstawowych informacji o Digestach justyniańskich (skrót D. od Digesta </w:t>
      </w:r>
      <w:proofErr w:type="spellStart"/>
      <w:r>
        <w:t>Iustiniani</w:t>
      </w:r>
      <w:proofErr w:type="spellEnd"/>
      <w:r>
        <w:t xml:space="preserve">) z 533 r. w tym także w kontekście znaczenia </w:t>
      </w:r>
      <w:r>
        <w:lastRenderedPageBreak/>
        <w:t>tego dzieła w historii prawa. Należy wskazać dane dotyczące jurysty, który widnieje jako autor cytowanego fragmentu. Jeżeli w tekście przywoływane są opinie innych jurystów, należy przedstawić podstawowe informacje dotyczące ich życia i działalności prawniczej. Ponadto należy wyprowadzić wnioski wynikające z miejsca zamieszczenia tekstu w Digestach justyniańskich (każdy akt prawny ma swoją systematykę; Digesta justyniańskie dzielą się na księgi, te z kolei na tytuły, fragmenty i paragrafy). Podać należy informacje dotyczące oryginalnego źródła, z którego fragment został zaczerpnięty (Digesta justyniańskie zawierają fragmenty dzieł prawników rzymskich powstałych w okresie od I w. p.n.e. do III w. n.e.). Po podaniu tych elementów, dokonujemy analizy treści danego fragmentu.</w:t>
      </w:r>
    </w:p>
    <w:p w14:paraId="6E283C18" w14:textId="77777777" w:rsidR="00970582" w:rsidRDefault="00970582" w:rsidP="00970582"/>
    <w:p w14:paraId="18965BA2" w14:textId="77777777" w:rsidR="00970582" w:rsidRDefault="00970582" w:rsidP="00970582">
      <w:r>
        <w:t>Interesują nas warunki w jakich tekst powstał, tj. kiedy; w jakich warunkach społecznych, ekonomicznych, kulturowych, wpływ czynników zewnętrznych na jurystów, np. wpływ nauki greckiej: retoryki, gramatyki, filozofii.</w:t>
      </w:r>
    </w:p>
    <w:p w14:paraId="5B461384" w14:textId="77777777" w:rsidR="00970582" w:rsidRDefault="00970582" w:rsidP="00970582"/>
    <w:p w14:paraId="2A679B9A" w14:textId="77777777" w:rsidR="00970582" w:rsidRDefault="00970582" w:rsidP="00970582">
      <w:r>
        <w:t xml:space="preserve">Wskazówką są informacje o jurystach, kiedy żyli, czy należeli do „szkoły” </w:t>
      </w:r>
      <w:proofErr w:type="spellStart"/>
      <w:r>
        <w:t>Sabinianów</w:t>
      </w:r>
      <w:proofErr w:type="spellEnd"/>
      <w:r>
        <w:t xml:space="preserve"> czy </w:t>
      </w:r>
      <w:proofErr w:type="spellStart"/>
      <w:r>
        <w:t>Prokulianów</w:t>
      </w:r>
      <w:proofErr w:type="spellEnd"/>
      <w:r>
        <w:t xml:space="preserve">, czy to jest wypowiedź jurysty odnosząca się do tekstu ustawy, uchwały senatu, edyktu pretorskiego? – pytanie o prawotwórczy charakter opinii i jej relację do źródła prawa; czy jurysta wyposażony był w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respondendi</w:t>
      </w:r>
      <w:proofErr w:type="spellEnd"/>
      <w:r>
        <w:t>. Jeśli w tekście przywołane są opinie innych jurystów, czy są odmienne, czy jurysta „przystępuje” do opinii starszego kolegi? Jeśli są odmienne, to dlaczego, czy możemy ten odmienny pogląd uznać za ciekawy/przekonujący?</w:t>
      </w:r>
    </w:p>
    <w:p w14:paraId="63C924F5" w14:textId="77777777" w:rsidR="00970582" w:rsidRDefault="00970582" w:rsidP="00970582"/>
    <w:p w14:paraId="369BA5D1" w14:textId="77777777" w:rsidR="00970582" w:rsidRDefault="00970582" w:rsidP="00970582">
      <w:r>
        <w:t>Ad. 2 Opinię prawną sporządzamy w stosunku do ustalonego stanu faktycznego. Ustaleń stanu faktycznego dokonuje się w wyniku analizy dostępnego materiału dowodowego.</w:t>
      </w:r>
    </w:p>
    <w:p w14:paraId="0C352276" w14:textId="77777777" w:rsidR="00970582" w:rsidRDefault="00970582" w:rsidP="00970582"/>
    <w:p w14:paraId="6D77D30B" w14:textId="77777777" w:rsidR="00970582" w:rsidRDefault="00970582" w:rsidP="00970582">
      <w:r>
        <w:t>Chodzi o kwestię faktów (</w:t>
      </w:r>
      <w:proofErr w:type="spellStart"/>
      <w:r>
        <w:t>quaestio</w:t>
      </w:r>
      <w:proofErr w:type="spellEnd"/>
      <w:r>
        <w:t xml:space="preserve"> </w:t>
      </w:r>
      <w:proofErr w:type="spellStart"/>
      <w:r>
        <w:t>facti</w:t>
      </w:r>
      <w:proofErr w:type="spellEnd"/>
      <w:r>
        <w:t>): co się wydarzyło, np. niewolnik wszedł na plac ćwiczeń i został ugodzony oszczepem. Albo: pewien Rzymianin przekazał buty do naprawy szewcowi za wynagrodzeniem. Buty zostały skradzione z warsztatu szewca.</w:t>
      </w:r>
    </w:p>
    <w:p w14:paraId="28E84675" w14:textId="77777777" w:rsidR="00970582" w:rsidRDefault="00970582" w:rsidP="00970582"/>
    <w:p w14:paraId="71E3BAE9" w14:textId="77777777" w:rsidR="00970582" w:rsidRDefault="00970582" w:rsidP="00970582">
      <w:r>
        <w:t>Można spróbować, jeśli będzie to pomocne, zrekonstruować szerszy stan faktyczny.</w:t>
      </w:r>
    </w:p>
    <w:p w14:paraId="488676A1" w14:textId="77777777" w:rsidR="00970582" w:rsidRDefault="00970582" w:rsidP="00970582"/>
    <w:p w14:paraId="6981CD3C" w14:textId="77777777" w:rsidR="00970582" w:rsidRDefault="00970582" w:rsidP="00970582">
      <w:r>
        <w:t xml:space="preserve">Błędne w tej części jest wyjście poza </w:t>
      </w:r>
      <w:proofErr w:type="spellStart"/>
      <w:r>
        <w:t>quaestio</w:t>
      </w:r>
      <w:proofErr w:type="spellEnd"/>
      <w:r>
        <w:t xml:space="preserve"> </w:t>
      </w:r>
      <w:proofErr w:type="spellStart"/>
      <w:r>
        <w:t>facti</w:t>
      </w:r>
      <w:proofErr w:type="spellEnd"/>
      <w:r>
        <w:t>. Można jedynie dodać, że nie wiemy, czy wydarzyło się to lub tamto; w tej części unikamy ocen prawnych.</w:t>
      </w:r>
    </w:p>
    <w:p w14:paraId="33AB7354" w14:textId="77777777" w:rsidR="00970582" w:rsidRDefault="00970582" w:rsidP="00970582"/>
    <w:p w14:paraId="53743302" w14:textId="77777777" w:rsidR="00970582" w:rsidRDefault="00970582" w:rsidP="00970582">
      <w:r>
        <w:t>Ad. 3 W tej części odnosimy się do kwestii prawnych.</w:t>
      </w:r>
    </w:p>
    <w:p w14:paraId="2BD5B73C" w14:textId="77777777" w:rsidR="00970582" w:rsidRDefault="00970582" w:rsidP="00970582"/>
    <w:p w14:paraId="40E334AA" w14:textId="77777777" w:rsidR="00970582" w:rsidRDefault="00970582" w:rsidP="00970582">
      <w:r>
        <w:t>Można opisać wskazane instytucje prawne, których kazus dotyczy, zrelacjonować poglądy jurystów (także spoza kazusu), by rzucić nieco więcej światła na omawianą problematykę.</w:t>
      </w:r>
    </w:p>
    <w:p w14:paraId="67683C9D" w14:textId="77777777" w:rsidR="00970582" w:rsidRDefault="00970582" w:rsidP="00970582"/>
    <w:p w14:paraId="24EA5197" w14:textId="77777777" w:rsidR="00970582" w:rsidRDefault="00970582" w:rsidP="00970582">
      <w:r>
        <w:t>Następnie opisujemy sposób narracji i rozumowania prawnika oraz podajemy rozstrzygnięcie kwestii spornej, które znajduje się w tekście.</w:t>
      </w:r>
    </w:p>
    <w:p w14:paraId="4C48DFAD" w14:textId="77777777" w:rsidR="00970582" w:rsidRDefault="00970582" w:rsidP="00970582"/>
    <w:p w14:paraId="22B9D72D" w14:textId="77777777" w:rsidR="00970582" w:rsidRDefault="00970582" w:rsidP="00970582">
      <w:r>
        <w:t>Jeśli mamy kilka opinii, dobrze jest zatrzymać się nad każdą z nich i szukać argumentów na rzecz danego stanowiska.</w:t>
      </w:r>
    </w:p>
    <w:p w14:paraId="4E809F55" w14:textId="77777777" w:rsidR="00970582" w:rsidRDefault="00970582" w:rsidP="00970582"/>
    <w:p w14:paraId="376D4C62" w14:textId="77777777" w:rsidR="00970582" w:rsidRDefault="00970582" w:rsidP="00970582">
      <w:r>
        <w:t xml:space="preserve">Ad. 4 Ratio </w:t>
      </w:r>
      <w:proofErr w:type="spellStart"/>
      <w:r>
        <w:t>decidendi</w:t>
      </w:r>
      <w:proofErr w:type="spellEnd"/>
      <w:r>
        <w:t>, czyli wskazanie na motywy rozstrzygnięcia, rozumiane jako odwołanie się do zasad prawnych.</w:t>
      </w:r>
    </w:p>
    <w:p w14:paraId="77181088" w14:textId="77777777" w:rsidR="00970582" w:rsidRDefault="00970582" w:rsidP="00970582"/>
    <w:p w14:paraId="713F35CD" w14:textId="77777777" w:rsidR="00970582" w:rsidRDefault="00970582" w:rsidP="00970582">
      <w:r>
        <w:t xml:space="preserve">Uwaga! Wiele decyzji rzymskich jurystów nie zawierało motywów czy uzasadnień. </w:t>
      </w:r>
      <w:proofErr w:type="spellStart"/>
      <w:r>
        <w:t>Rationes</w:t>
      </w:r>
      <w:proofErr w:type="spellEnd"/>
      <w:r>
        <w:t xml:space="preserve"> mogą stanowić: zastosowanie normy prawnej, zastosowanie reguły logicznej lub językowej, autorytet opinii dawnego (wcześniejszego) jurysty (</w:t>
      </w:r>
      <w:proofErr w:type="spellStart"/>
      <w:r>
        <w:t>argumenta</w:t>
      </w:r>
      <w:proofErr w:type="spellEnd"/>
      <w:r>
        <w:t xml:space="preserve"> ex </w:t>
      </w:r>
      <w:proofErr w:type="spellStart"/>
      <w:r>
        <w:t>auctoritate</w:t>
      </w:r>
      <w:proofErr w:type="spellEnd"/>
      <w:r>
        <w:t xml:space="preserve">), przywołanie </w:t>
      </w:r>
      <w:r>
        <w:lastRenderedPageBreak/>
        <w:t>zgodnego poglądu wcześniej żyjących jurystów, motyw znaleziony w regule prawnej (</w:t>
      </w:r>
      <w:proofErr w:type="spellStart"/>
      <w:r>
        <w:t>regula</w:t>
      </w:r>
      <w:proofErr w:type="spellEnd"/>
      <w:r>
        <w:t xml:space="preserve"> iuris), konstrukcji prawnej, pojęciu prawnym, pospolitym zwyczaju językowym, woli stron lub strony czynności prawnej (np. testamentu), pogląd filozoficzny, analogia, podobny przypadek - zazwyczaj prostszy, niż rozstrzygana sprawa, </w:t>
      </w:r>
      <w:proofErr w:type="spellStart"/>
      <w:r>
        <w:t>deductio</w:t>
      </w:r>
      <w:proofErr w:type="spellEnd"/>
      <w:r>
        <w:t xml:space="preserve"> ad absurdum (sprowadzenie innego możliwego rozstrzygnięcia do absurdu).</w:t>
      </w:r>
    </w:p>
    <w:p w14:paraId="20FFF82E" w14:textId="77777777" w:rsidR="00970582" w:rsidRDefault="00970582" w:rsidP="00970582"/>
    <w:p w14:paraId="16E0B62F" w14:textId="77777777" w:rsidR="00970582" w:rsidRDefault="00970582" w:rsidP="00970582">
      <w:r>
        <w:t xml:space="preserve">Odniesienie się do zasad będzie tzw. „otwartą argumentacją” w odróżnieniu do argumentu z normy prawnej (np. ustawy </w:t>
      </w:r>
      <w:proofErr w:type="spellStart"/>
      <w:r>
        <w:t>akwiliańskiej</w:t>
      </w:r>
      <w:proofErr w:type="spellEnd"/>
      <w:r>
        <w:t>). Dobrze jest wskazać tu na metodę kazuistyczną jurystów rzymskich oraz na znaczenie reguł prawnych i spostrzeżenie Paulusa: nie prawo wynika z reguły, lecz z istniejącego prawa powstaje reguła (</w:t>
      </w:r>
      <w:r w:rsidRPr="00394BFD">
        <w:rPr>
          <w:i/>
          <w:iCs/>
        </w:rPr>
        <w:t xml:space="preserve">non ex </w:t>
      </w:r>
      <w:proofErr w:type="spellStart"/>
      <w:r w:rsidRPr="00394BFD">
        <w:rPr>
          <w:i/>
          <w:iCs/>
        </w:rPr>
        <w:t>regula</w:t>
      </w:r>
      <w:proofErr w:type="spellEnd"/>
      <w:r w:rsidRPr="00394BFD">
        <w:rPr>
          <w:i/>
          <w:iCs/>
        </w:rPr>
        <w:t xml:space="preserve"> </w:t>
      </w:r>
      <w:proofErr w:type="spellStart"/>
      <w:r w:rsidRPr="00394BFD">
        <w:rPr>
          <w:i/>
          <w:iCs/>
        </w:rPr>
        <w:t>ius</w:t>
      </w:r>
      <w:proofErr w:type="spellEnd"/>
      <w:r w:rsidRPr="00394BFD">
        <w:rPr>
          <w:i/>
          <w:iCs/>
        </w:rPr>
        <w:t xml:space="preserve"> </w:t>
      </w:r>
      <w:proofErr w:type="spellStart"/>
      <w:r w:rsidRPr="00394BFD">
        <w:rPr>
          <w:i/>
          <w:iCs/>
        </w:rPr>
        <w:t>summatur</w:t>
      </w:r>
      <w:proofErr w:type="spellEnd"/>
      <w:r w:rsidRPr="00394BFD">
        <w:rPr>
          <w:i/>
          <w:iCs/>
        </w:rPr>
        <w:t xml:space="preserve">, </w:t>
      </w:r>
      <w:proofErr w:type="spellStart"/>
      <w:r w:rsidRPr="00394BFD">
        <w:rPr>
          <w:i/>
          <w:iCs/>
        </w:rPr>
        <w:t>sed</w:t>
      </w:r>
      <w:proofErr w:type="spellEnd"/>
      <w:r w:rsidRPr="00394BFD">
        <w:rPr>
          <w:i/>
          <w:iCs/>
        </w:rPr>
        <w:t xml:space="preserve"> ex iure </w:t>
      </w:r>
      <w:proofErr w:type="spellStart"/>
      <w:r w:rsidRPr="00394BFD">
        <w:rPr>
          <w:i/>
          <w:iCs/>
        </w:rPr>
        <w:t>quod</w:t>
      </w:r>
      <w:proofErr w:type="spellEnd"/>
      <w:r w:rsidRPr="00394BFD">
        <w:rPr>
          <w:i/>
          <w:iCs/>
        </w:rPr>
        <w:t xml:space="preserve"> </w:t>
      </w:r>
      <w:proofErr w:type="spellStart"/>
      <w:r w:rsidRPr="00394BFD">
        <w:rPr>
          <w:i/>
          <w:iCs/>
        </w:rPr>
        <w:t>est</w:t>
      </w:r>
      <w:proofErr w:type="spellEnd"/>
      <w:r w:rsidRPr="00394BFD">
        <w:rPr>
          <w:i/>
          <w:iCs/>
        </w:rPr>
        <w:t xml:space="preserve"> </w:t>
      </w:r>
      <w:proofErr w:type="spellStart"/>
      <w:r w:rsidRPr="00394BFD">
        <w:rPr>
          <w:i/>
          <w:iCs/>
        </w:rPr>
        <w:t>regula</w:t>
      </w:r>
      <w:proofErr w:type="spellEnd"/>
      <w:r w:rsidRPr="00394BFD">
        <w:rPr>
          <w:i/>
          <w:iCs/>
        </w:rPr>
        <w:t xml:space="preserve"> fiat</w:t>
      </w:r>
      <w:r>
        <w:t>).</w:t>
      </w:r>
    </w:p>
    <w:p w14:paraId="45B9E8C3" w14:textId="77777777" w:rsidR="00970582" w:rsidRDefault="00970582" w:rsidP="00970582"/>
    <w:p w14:paraId="082369D1" w14:textId="77777777" w:rsidR="00970582" w:rsidRDefault="00970582" w:rsidP="00970582">
      <w:r>
        <w:t>Oceniane jest pogłębienie zagadnienia: nie wystarczy np. wskazać na wolę testatora jako przyczynę decyzji, ale należy zapytać dlaczego ona jest ważna dla rozstrzygnięcia.</w:t>
      </w:r>
    </w:p>
    <w:p w14:paraId="23C2B92D" w14:textId="77777777" w:rsidR="00FF7E9F" w:rsidRDefault="00FF7E9F" w:rsidP="007862D4">
      <w:pPr>
        <w:pStyle w:val="Master1-Layout2-obj-Tytu-i-zawartoLTGliederung1"/>
        <w:spacing w:before="200"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1A3B245D" w14:textId="70EBDE79" w:rsidR="00970582" w:rsidRPr="00FF7E9F" w:rsidRDefault="007862D4" w:rsidP="007862D4">
      <w:pPr>
        <w:pStyle w:val="Master1-Layout2-obj-Tytu-i-zawartoLTGliederung1"/>
        <w:spacing w:before="200"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FF7E9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VI. Symulacja rozprawy</w:t>
      </w:r>
    </w:p>
    <w:p w14:paraId="762460D3" w14:textId="77777777" w:rsidR="007862D4" w:rsidRDefault="007862D4" w:rsidP="007862D4">
      <w:pPr>
        <w:jc w:val="both"/>
        <w:textAlignment w:val="baseline"/>
      </w:pPr>
      <w:r>
        <w:t>Wyznaczeni przez prowadzącego studenci, pracując w zespołach przygotowują i prezentują stanowiska stron sporu (powoda i pozwanego). Trzeci zespół (3 osobowy) pełni rolę kolegium sędziowskiego, które przygotowuje rozstrzygnięcie. Podczas ćwiczeń pozostali uczestnicy dołączają do kolegium sędziowskiego, mogą zadawać stronom pytania i uczestniczyć w naradzie sędziowskiej.</w:t>
      </w:r>
    </w:p>
    <w:p w14:paraId="08245D85" w14:textId="77777777" w:rsidR="007862D4" w:rsidRDefault="007862D4" w:rsidP="007862D4">
      <w:pPr>
        <w:pStyle w:val="Master1-Layout2-obj-Tytu-i-zawartoLTGliederung1"/>
        <w:spacing w:before="200"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57BA32C2" w14:textId="3913B86A" w:rsidR="006458A9" w:rsidRDefault="00FF7E9F" w:rsidP="00970582">
      <w:pPr>
        <w:jc w:val="both"/>
        <w:textAlignment w:val="baseline"/>
      </w:pPr>
      <w:r>
        <w:t>II w. po Chr.</w:t>
      </w:r>
    </w:p>
    <w:p w14:paraId="44968955" w14:textId="5E1F5F03" w:rsidR="00FF7E9F" w:rsidRDefault="00FF7E9F" w:rsidP="00970582">
      <w:pPr>
        <w:jc w:val="both"/>
        <w:textAlignment w:val="baseline"/>
      </w:pPr>
    </w:p>
    <w:p w14:paraId="748CEDD3" w14:textId="658275BB" w:rsidR="00FF7E9F" w:rsidRDefault="00FF7E9F" w:rsidP="00970582">
      <w:pPr>
        <w:jc w:val="both"/>
        <w:textAlignment w:val="baseline"/>
      </w:pPr>
      <w:proofErr w:type="spellStart"/>
      <w:r>
        <w:t>Gaius</w:t>
      </w:r>
      <w:proofErr w:type="spellEnd"/>
      <w:r>
        <w:t xml:space="preserve"> szedł na umówione spotkanie z przyjaciół</w:t>
      </w:r>
      <w:r w:rsidR="0077626F">
        <w:t xml:space="preserve">mi. Aby odpocząć zatrzymał się na chwilę przy uliczce zabudowanej insulami. Z jednego z okien, które znajdowało się w kamienicy, przy której </w:t>
      </w:r>
      <w:proofErr w:type="spellStart"/>
      <w:r w:rsidR="0077626F">
        <w:t>Gaius</w:t>
      </w:r>
      <w:proofErr w:type="spellEnd"/>
      <w:r w:rsidR="0077626F">
        <w:t xml:space="preserve"> przystanął</w:t>
      </w:r>
      <w:r w:rsidR="00EE0DAD">
        <w:t>,</w:t>
      </w:r>
      <w:r w:rsidR="0077626F">
        <w:t xml:space="preserve"> wylano wrzątek. </w:t>
      </w:r>
      <w:proofErr w:type="spellStart"/>
      <w:r w:rsidR="0077626F">
        <w:t>Gaius</w:t>
      </w:r>
      <w:proofErr w:type="spellEnd"/>
      <w:r w:rsidR="0077626F">
        <w:t xml:space="preserve"> doznał oparzenia twarzy w wyniku którego powstały blizny i zeszpecenia.</w:t>
      </w:r>
    </w:p>
    <w:p w14:paraId="15BF8356" w14:textId="6F1E489D" w:rsidR="0077626F" w:rsidRDefault="0077626F" w:rsidP="00970582">
      <w:pPr>
        <w:jc w:val="both"/>
        <w:textAlignment w:val="baseline"/>
      </w:pPr>
    </w:p>
    <w:p w14:paraId="77D4AF16" w14:textId="41E7EBCE" w:rsidR="0077626F" w:rsidRDefault="0077626F" w:rsidP="00970582">
      <w:pPr>
        <w:jc w:val="both"/>
        <w:textAlignment w:val="baseline"/>
      </w:pPr>
      <w:proofErr w:type="spellStart"/>
      <w:r>
        <w:t>Gaius</w:t>
      </w:r>
      <w:proofErr w:type="spellEnd"/>
      <w:r>
        <w:t xml:space="preserve"> domaga się udzielenia skargi o potrójną wartość wyrządzonej szkody. Twierdzi, że wskutek obrażeń musiał zapłacić honorarium lekarzom w wysokości 300 asów, pokryć koszty lekarstw w wysokości 500 asów. Utracił także zdolność do zarobkowania (utracił zarobki w kwocie 2000 asów – odpowiadające wynagrodzeniu za 50 dni pracy; pracował jako pomocnik w oberży). Wycenił ponadto blizny i zeszpecenia na 10 000 asów.</w:t>
      </w:r>
    </w:p>
    <w:p w14:paraId="794E0E26" w14:textId="4281ADEF" w:rsidR="0077626F" w:rsidRDefault="0077626F" w:rsidP="00970582">
      <w:pPr>
        <w:jc w:val="both"/>
        <w:textAlignment w:val="baseline"/>
      </w:pPr>
    </w:p>
    <w:p w14:paraId="03FA737C" w14:textId="2E5389D4" w:rsidR="0077626F" w:rsidRDefault="0077626F" w:rsidP="00970582">
      <w:pPr>
        <w:jc w:val="both"/>
        <w:textAlignment w:val="baseline"/>
      </w:pPr>
      <w:r>
        <w:t>Pozwan</w:t>
      </w:r>
      <w:r w:rsidR="00EE0DAD">
        <w:t>i:</w:t>
      </w:r>
      <w:r>
        <w:t xml:space="preserve"> Tytus – właściciel lokalu broni się tym, że lokal jest przedmiotem najmu i </w:t>
      </w:r>
      <w:r w:rsidR="007B0BC4">
        <w:t>z</w:t>
      </w:r>
      <w:r>
        <w:t xml:space="preserve">ajmuje go </w:t>
      </w:r>
      <w:proofErr w:type="spellStart"/>
      <w:r>
        <w:t>Luciusz</w:t>
      </w:r>
      <w:proofErr w:type="spellEnd"/>
      <w:r>
        <w:t xml:space="preserve"> z rodziną</w:t>
      </w:r>
      <w:r w:rsidR="007B0BC4">
        <w:t>.</w:t>
      </w:r>
    </w:p>
    <w:p w14:paraId="55DB5877" w14:textId="4306D04D" w:rsidR="00EE0DAD" w:rsidRDefault="00EE0DAD" w:rsidP="00970582">
      <w:pPr>
        <w:jc w:val="both"/>
        <w:textAlignment w:val="baseline"/>
      </w:pPr>
      <w:proofErr w:type="spellStart"/>
      <w:r>
        <w:t>Luciusz</w:t>
      </w:r>
      <w:proofErr w:type="spellEnd"/>
      <w:r>
        <w:t xml:space="preserve"> - broni się tym, że nie było go w mieści a lokal zajmowali jego znajomi Kalpurniusz i </w:t>
      </w:r>
      <w:proofErr w:type="spellStart"/>
      <w:r>
        <w:t>Eneneusz</w:t>
      </w:r>
      <w:proofErr w:type="spellEnd"/>
    </w:p>
    <w:p w14:paraId="2BD926D0" w14:textId="77777777" w:rsidR="00DC4788" w:rsidRPr="001714D5" w:rsidRDefault="00DC4788" w:rsidP="00DC4788">
      <w:pPr>
        <w:rPr>
          <w:b/>
        </w:rPr>
      </w:pPr>
    </w:p>
    <w:p w14:paraId="44B2B475" w14:textId="0A7E0C94" w:rsidR="00DC4788" w:rsidRPr="00165AEB" w:rsidRDefault="00BE1D43" w:rsidP="00DC4788">
      <w:pPr>
        <w:rPr>
          <w:b/>
        </w:rPr>
      </w:pPr>
      <w:r>
        <w:rPr>
          <w:b/>
        </w:rPr>
        <w:t>VII</w:t>
      </w:r>
      <w:r w:rsidR="00DC4788">
        <w:rPr>
          <w:b/>
        </w:rPr>
        <w:t xml:space="preserve">. </w:t>
      </w:r>
      <w:r w:rsidR="00DC4788" w:rsidRPr="00165AEB">
        <w:rPr>
          <w:b/>
        </w:rPr>
        <w:t>Planowany przebieg zajęć:</w:t>
      </w:r>
    </w:p>
    <w:p w14:paraId="1738570B" w14:textId="77777777" w:rsidR="0042152B" w:rsidRDefault="0042152B" w:rsidP="0042152B">
      <w:r>
        <w:t xml:space="preserve">sprawdzenie obecności </w:t>
      </w:r>
    </w:p>
    <w:p w14:paraId="676FF572" w14:textId="77777777" w:rsidR="0042152B" w:rsidRDefault="0042152B" w:rsidP="0042152B">
      <w:r>
        <w:t>test z pojęć łacińskich</w:t>
      </w:r>
    </w:p>
    <w:p w14:paraId="4D27F5F2" w14:textId="22C03163" w:rsidR="0042152B" w:rsidRDefault="0042152B" w:rsidP="0042152B">
      <w:r>
        <w:t>interpretacja tekst</w:t>
      </w:r>
      <w:r w:rsidR="00F2736D">
        <w:t>ów</w:t>
      </w:r>
      <w:r>
        <w:t xml:space="preserve"> źródłow</w:t>
      </w:r>
      <w:r w:rsidR="00F2736D">
        <w:t>ych</w:t>
      </w:r>
      <w:r>
        <w:t xml:space="preserve"> </w:t>
      </w:r>
    </w:p>
    <w:p w14:paraId="42335E3C" w14:textId="144B319C" w:rsidR="008E6779" w:rsidRDefault="008E6779" w:rsidP="0042152B">
      <w:r>
        <w:t>symulacja rozprawy</w:t>
      </w:r>
    </w:p>
    <w:p w14:paraId="460E549D" w14:textId="2E249520" w:rsidR="00DC4788" w:rsidRDefault="0042152B" w:rsidP="00DC4788">
      <w:r>
        <w:t xml:space="preserve">podsumowanie zajęć </w:t>
      </w:r>
    </w:p>
    <w:p w14:paraId="2ED0E5B3" w14:textId="77777777" w:rsidR="00DC4788" w:rsidRDefault="00DC4788" w:rsidP="00DC4788"/>
    <w:p w14:paraId="1F08D5A0" w14:textId="77777777" w:rsidR="00DC4788" w:rsidRDefault="00DC4788" w:rsidP="00DC4788"/>
    <w:p w14:paraId="79B28BA3" w14:textId="20B54FC0" w:rsidR="00CE12C1" w:rsidRDefault="00CE12C1" w:rsidP="00DC4788"/>
    <w:sectPr w:rsidR="00CE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561"/>
    <w:multiLevelType w:val="hybridMultilevel"/>
    <w:tmpl w:val="CFAA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0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88"/>
    <w:rsid w:val="00021DCE"/>
    <w:rsid w:val="000419C0"/>
    <w:rsid w:val="000641E0"/>
    <w:rsid w:val="00131E92"/>
    <w:rsid w:val="00187191"/>
    <w:rsid w:val="00194C3D"/>
    <w:rsid w:val="001E680E"/>
    <w:rsid w:val="00274F3F"/>
    <w:rsid w:val="0027547B"/>
    <w:rsid w:val="002A1F18"/>
    <w:rsid w:val="002C4813"/>
    <w:rsid w:val="00306758"/>
    <w:rsid w:val="00350CAF"/>
    <w:rsid w:val="003547F3"/>
    <w:rsid w:val="00394BFD"/>
    <w:rsid w:val="0042152B"/>
    <w:rsid w:val="00460643"/>
    <w:rsid w:val="004A3BDE"/>
    <w:rsid w:val="004C5049"/>
    <w:rsid w:val="0050772D"/>
    <w:rsid w:val="005A1A8E"/>
    <w:rsid w:val="006458A9"/>
    <w:rsid w:val="006F39CF"/>
    <w:rsid w:val="0071181B"/>
    <w:rsid w:val="00763403"/>
    <w:rsid w:val="0077626F"/>
    <w:rsid w:val="007862D4"/>
    <w:rsid w:val="007B0BC4"/>
    <w:rsid w:val="00815CED"/>
    <w:rsid w:val="00823970"/>
    <w:rsid w:val="008C04BB"/>
    <w:rsid w:val="008E6779"/>
    <w:rsid w:val="00906F84"/>
    <w:rsid w:val="00970582"/>
    <w:rsid w:val="009C310B"/>
    <w:rsid w:val="009D07E9"/>
    <w:rsid w:val="009D3A3B"/>
    <w:rsid w:val="00A92F55"/>
    <w:rsid w:val="00B3127C"/>
    <w:rsid w:val="00BD1EA1"/>
    <w:rsid w:val="00BE1D43"/>
    <w:rsid w:val="00C37CA3"/>
    <w:rsid w:val="00CB071F"/>
    <w:rsid w:val="00CE12C1"/>
    <w:rsid w:val="00CF33AA"/>
    <w:rsid w:val="00D4019C"/>
    <w:rsid w:val="00D62EC7"/>
    <w:rsid w:val="00D870D3"/>
    <w:rsid w:val="00DC4788"/>
    <w:rsid w:val="00EE0DAD"/>
    <w:rsid w:val="00F2736D"/>
    <w:rsid w:val="00F7399D"/>
    <w:rsid w:val="00F933A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82D5"/>
  <w15:chartTrackingRefBased/>
  <w15:docId w15:val="{A10290F2-8634-400B-9C90-4D9F0FDD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7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47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ster1-Layout2-obj-Tytu-i-zawartoLTGliederung1">
    <w:name w:val="Master1-Layout2-obj-Tytu?-i-zawarto??~LT~Gliederung 1"/>
    <w:rsid w:val="00B3127C"/>
    <w:pPr>
      <w:autoSpaceDE w:val="0"/>
      <w:autoSpaceDN w:val="0"/>
      <w:adjustRightInd w:val="0"/>
      <w:spacing w:after="283" w:line="240" w:lineRule="auto"/>
      <w:ind w:left="680" w:hanging="510"/>
    </w:pPr>
    <w:rPr>
      <w:rFonts w:ascii="Tahoma" w:eastAsia="Times New Roman" w:hAnsi="Tahoma" w:cs="Tahoma"/>
      <w:color w:val="FFFFFF"/>
      <w:sz w:val="64"/>
      <w:szCs w:val="6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970"/>
    <w:rPr>
      <w:color w:val="605E5C"/>
      <w:shd w:val="clear" w:color="auto" w:fill="E1DFDD"/>
    </w:rPr>
  </w:style>
  <w:style w:type="paragraph" w:customStyle="1" w:styleId="AKA---Kaz-0">
    <w:name w:val="AKA---Kaz-0"/>
    <w:basedOn w:val="Normalny"/>
    <w:rsid w:val="00763403"/>
    <w:pPr>
      <w:widowControl w:val="0"/>
      <w:tabs>
        <w:tab w:val="left" w:pos="624"/>
        <w:tab w:val="left" w:pos="907"/>
        <w:tab w:val="right" w:pos="7087"/>
      </w:tabs>
      <w:suppressAutoHyphens/>
      <w:autoSpaceDE w:val="0"/>
      <w:spacing w:before="340" w:after="74"/>
      <w:ind w:left="624" w:hanging="369"/>
      <w:jc w:val="both"/>
    </w:pPr>
    <w:rPr>
      <w:color w:val="000000"/>
      <w:sz w:val="20"/>
      <w:szCs w:val="20"/>
      <w:lang w:eastAsia="hi-IN" w:bidi="hi-IN"/>
    </w:rPr>
  </w:style>
  <w:style w:type="paragraph" w:customStyle="1" w:styleId="AKA---Kazus">
    <w:name w:val="AKA---Kazus"/>
    <w:basedOn w:val="Normalny"/>
    <w:rsid w:val="00763403"/>
    <w:pPr>
      <w:widowControl w:val="0"/>
      <w:tabs>
        <w:tab w:val="left" w:pos="624"/>
        <w:tab w:val="left" w:pos="907"/>
        <w:tab w:val="right" w:pos="7087"/>
      </w:tabs>
      <w:suppressAutoHyphens/>
      <w:autoSpaceDE w:val="0"/>
      <w:spacing w:before="96" w:after="74"/>
      <w:ind w:left="624"/>
      <w:jc w:val="both"/>
    </w:pPr>
    <w:rPr>
      <w:color w:val="000000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zhum.muzhp.pl/media/files/Palestra/Palestra-r1998-t42-n5_6(485_486)/Palestra-r1998-t42-n5_6(485_486)-s25-32/Palestra-r1998-t42-n5_6(485_486)-s25-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Szolc-Nartowski</dc:creator>
  <cp:keywords/>
  <dc:description/>
  <cp:lastModifiedBy>Jacek Wiewiorowski</cp:lastModifiedBy>
  <cp:revision>5</cp:revision>
  <dcterms:created xsi:type="dcterms:W3CDTF">2023-01-11T11:02:00Z</dcterms:created>
  <dcterms:modified xsi:type="dcterms:W3CDTF">2023-01-12T11:12:00Z</dcterms:modified>
</cp:coreProperties>
</file>