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B867" w14:textId="411D3FD0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</w:p>
    <w:p w14:paraId="60070D66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0999F4EC" w14:textId="5DF13792" w:rsidR="00FD768B" w:rsidRPr="00EB531D" w:rsidRDefault="00FD768B" w:rsidP="00FD768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531D">
        <w:rPr>
          <w:rFonts w:ascii="Times New Roman" w:hAnsi="Times New Roman" w:cs="Times New Roman"/>
          <w:b/>
          <w:bCs/>
          <w:sz w:val="22"/>
          <w:szCs w:val="22"/>
        </w:rPr>
        <w:t xml:space="preserve">Zakład Prawa Rzymskiego </w:t>
      </w:r>
      <w:proofErr w:type="spellStart"/>
      <w:r w:rsidRPr="00EB531D">
        <w:rPr>
          <w:rFonts w:ascii="Times New Roman" w:hAnsi="Times New Roman" w:cs="Times New Roman"/>
          <w:b/>
          <w:bCs/>
          <w:sz w:val="22"/>
          <w:szCs w:val="22"/>
        </w:rPr>
        <w:t>WPiA</w:t>
      </w:r>
      <w:proofErr w:type="spellEnd"/>
      <w:r w:rsidRPr="00EB531D">
        <w:rPr>
          <w:rFonts w:ascii="Times New Roman" w:hAnsi="Times New Roman" w:cs="Times New Roman"/>
          <w:b/>
          <w:bCs/>
          <w:sz w:val="22"/>
          <w:szCs w:val="22"/>
        </w:rPr>
        <w:t xml:space="preserve"> UG, rok akademicki 202</w:t>
      </w:r>
      <w:r w:rsidR="00A2705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EB531D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A2705B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7255C6AA" w14:textId="1A25F1B2" w:rsidR="00FD768B" w:rsidRPr="00013EEE" w:rsidRDefault="00FD768B" w:rsidP="00FD768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13EEE">
        <w:rPr>
          <w:rFonts w:ascii="Times New Roman" w:hAnsi="Times New Roman" w:cs="Times New Roman"/>
          <w:b/>
          <w:bCs/>
          <w:sz w:val="22"/>
          <w:szCs w:val="22"/>
        </w:rPr>
        <w:t>Kwestionariusz zadań nr 4 Prawo rzeczowe</w:t>
      </w:r>
      <w:r w:rsidR="00A2705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03773">
        <w:rPr>
          <w:rFonts w:ascii="Times New Roman" w:hAnsi="Times New Roman" w:cs="Times New Roman"/>
          <w:b/>
          <w:bCs/>
          <w:sz w:val="22"/>
          <w:szCs w:val="22"/>
        </w:rPr>
        <w:t>poj</w:t>
      </w:r>
      <w:r w:rsidR="00A421D1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="00903773">
        <w:rPr>
          <w:rFonts w:ascii="Times New Roman" w:hAnsi="Times New Roman" w:cs="Times New Roman"/>
          <w:b/>
          <w:bCs/>
          <w:sz w:val="22"/>
          <w:szCs w:val="22"/>
        </w:rPr>
        <w:t xml:space="preserve">cie i rodzaje rzeczy, posiadanie, własność </w:t>
      </w:r>
    </w:p>
    <w:p w14:paraId="5FB36C28" w14:textId="77777777" w:rsidR="00FD768B" w:rsidRPr="00013EEE" w:rsidRDefault="00FD768B" w:rsidP="00FD768B">
      <w:pPr>
        <w:ind w:left="4245"/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013EE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014912E0" w14:textId="71BED5CE" w:rsidR="00FD768B" w:rsidRPr="00AA7B2F" w:rsidRDefault="00FD768B" w:rsidP="00FD768B">
      <w:pPr>
        <w:ind w:left="424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</w:pPr>
      <w:r w:rsidRPr="00A2705B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D. 43, 17, 1, 2</w:t>
      </w:r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(</w:t>
      </w:r>
      <w:proofErr w:type="spellStart"/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Ulpianus</w:t>
      </w:r>
      <w:proofErr w:type="spellEnd"/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libro</w:t>
      </w:r>
      <w:proofErr w:type="spellEnd"/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69 ad </w:t>
      </w:r>
      <w:proofErr w:type="spellStart"/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edictum</w:t>
      </w:r>
      <w:proofErr w:type="spellEnd"/>
      <w:r w:rsid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):</w:t>
      </w:r>
      <w:r w:rsidRPr="00A2705B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r w:rsidR="00AA7B2F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…</w:t>
      </w:r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separata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esse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debet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possessio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a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proprietate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: fieri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etenim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potest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ut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alter possessor sit, dominus non sit, alter dominus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quidem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sit, possessor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vero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non sit: fieri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potest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</w:t>
      </w:r>
      <w:proofErr w:type="spellStart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ut</w:t>
      </w:r>
      <w:proofErr w:type="spellEnd"/>
      <w:r w:rsidR="00AA7B2F" w:rsidRPr="00AA7B2F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et possessor idem et dominus sit.</w:t>
      </w:r>
    </w:p>
    <w:p w14:paraId="6B65D4C5" w14:textId="77777777" w:rsidR="00FD768B" w:rsidRPr="00EB531D" w:rsidRDefault="00FD768B" w:rsidP="00FD768B">
      <w:pPr>
        <w:ind w:left="424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</w:pPr>
    </w:p>
    <w:p w14:paraId="3CA068A7" w14:textId="0F491B36" w:rsidR="00FD768B" w:rsidRPr="00EB531D" w:rsidRDefault="00FD768B" w:rsidP="00FD768B">
      <w:pPr>
        <w:ind w:left="4245"/>
        <w:jc w:val="both"/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Ulpian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księdze sześćdziesiątej dziewiątej Komentarza do edyktu</w:t>
      </w:r>
      <w:r w:rsidR="00C33299">
        <w:rPr>
          <w:rFonts w:ascii="Times New Roman" w:eastAsia="Times New Roman" w:hAnsi="Times New Roman" w:cs="Times New Roman"/>
          <w:sz w:val="22"/>
          <w:szCs w:val="22"/>
          <w:lang w:eastAsia="pl-PL"/>
        </w:rPr>
        <w:t>): …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oddzielić należy posiadanie od własności. Może bowiem zdarzyć się, że ktoś jest posiadaczem nie będąc właścicielem, inny jest zaś właścicielem, ale nie jest posiadaczem. Może być [też tak], że ten sam jest zarówno posiadaczem, jak i właścicielem. </w:t>
      </w:r>
    </w:p>
    <w:p w14:paraId="70DBA103" w14:textId="77777777" w:rsidR="00FD768B" w:rsidRPr="00EB531D" w:rsidRDefault="00FD768B" w:rsidP="00FD768B">
      <w:pPr>
        <w:ind w:left="4245"/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34BCE1D5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4D307807" w14:textId="0571C3F9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I. Cel zajęć: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Celem zajęć jest wprowadzenie do zagadnień związanych z rzymskim prawem rzeczowym. Studenci poznają </w:t>
      </w:r>
      <w:r w:rsidR="0090377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rodzaje rzeczy, posiadanie i </w:t>
      </w:r>
      <w:r w:rsidR="00A2705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zasady </w:t>
      </w:r>
      <w:r w:rsidR="0090377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nabywania </w:t>
      </w:r>
      <w:r w:rsidR="00A2705B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</w:t>
      </w:r>
      <w:r w:rsidR="0090377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779819A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6B6DE1B6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eastAsia="pl-PL"/>
        </w:rPr>
        <w:t xml:space="preserve">Czas </w:t>
      </w:r>
      <w:r w:rsidRPr="00EB531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>pracy własnej: 420 min.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178EB1D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>Czas zajęć: 2x45 min.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46E0BC3C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03720A95" w14:textId="1414B8AE" w:rsidR="00FD768B" w:rsidRPr="00EB531D" w:rsidRDefault="00FD768B" w:rsidP="00903773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eastAsia="pl-PL"/>
        </w:rPr>
        <w:t>Zadania:</w:t>
      </w:r>
      <w:r w:rsidRPr="00EB531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 xml:space="preserve"> w ramach przygotowania do ćwiczeń (praca własna), student jest zobowiązany do zapoznania się z treścią podręczników i </w:t>
      </w:r>
      <w:r w:rsidR="00AA7B2F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>zapoznania się z terminologią łacińską zamieszczoną w słowniczku</w:t>
      </w:r>
      <w:r w:rsidRPr="00EB531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 xml:space="preserve"> terminów i pojęć; Powinien przygotować się do analizy tekstu źródłowego z tłumaczeniem w języku polskim – wyjaśnienia znajdują się przy tekście poniżej. </w:t>
      </w:r>
    </w:p>
    <w:p w14:paraId="490CB059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06D62558" w14:textId="3A4B17AA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Lektura: 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podręcznik T. 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Giaro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W. 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Dajczak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F. 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Longchamps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de 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Berier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Prawo rzymskie. U podstaw prawa prywatnego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, Rozdział 5 – Posiadanie i prawa rzeczowe, s. 385 – 4</w:t>
      </w:r>
      <w:r w:rsidR="00903773">
        <w:rPr>
          <w:rFonts w:ascii="Times New Roman" w:eastAsia="Times New Roman" w:hAnsi="Times New Roman" w:cs="Times New Roman"/>
          <w:sz w:val="22"/>
          <w:szCs w:val="22"/>
          <w:lang w:eastAsia="pl-PL"/>
        </w:rPr>
        <w:t>24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wyd. 3, Warszawa 2018, K. Kolańczyk, </w:t>
      </w:r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Prawo rzymskie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Prawo rzeczowe, od s. </w:t>
      </w:r>
      <w:r w:rsidR="00761224">
        <w:rPr>
          <w:rFonts w:ascii="Times New Roman" w:eastAsia="Times New Roman" w:hAnsi="Times New Roman" w:cs="Times New Roman"/>
          <w:sz w:val="22"/>
          <w:szCs w:val="22"/>
          <w:lang w:eastAsia="pl-PL"/>
        </w:rPr>
        <w:t>291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s. </w:t>
      </w:r>
      <w:r w:rsidR="00761224">
        <w:rPr>
          <w:rFonts w:ascii="Times New Roman" w:eastAsia="Times New Roman" w:hAnsi="Times New Roman" w:cs="Times New Roman"/>
          <w:sz w:val="22"/>
          <w:szCs w:val="22"/>
          <w:lang w:eastAsia="pl-PL"/>
        </w:rPr>
        <w:t>338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wyd. VI. </w:t>
      </w:r>
    </w:p>
    <w:p w14:paraId="606360BB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5F82D5E0" w14:textId="79FDAEDF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II. Słowniczek terminów i pojęć </w:t>
      </w:r>
    </w:p>
    <w:p w14:paraId="3953DA73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60F05314" w14:textId="215B8592" w:rsidR="00FD768B" w:rsidRPr="00EB531D" w:rsidRDefault="00A2705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val="en-US" w:eastAsia="pl-PL"/>
        </w:rPr>
      </w:pPr>
      <w:proofErr w:type="spellStart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Pojęcie</w:t>
      </w:r>
      <w:proofErr w:type="spellEnd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rzeczy</w:t>
      </w:r>
      <w:proofErr w:type="spellEnd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corporales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incorporales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in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patrimonio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extra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patrimonium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divini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iuris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humani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iuris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sacrae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religiosae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sanctae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omnium communes,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publice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universitatis,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mancipi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nec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mancipi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immobiles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 res mobiles, species, genus, fructus,</w:t>
      </w:r>
    </w:p>
    <w:p w14:paraId="66302357" w14:textId="77777777" w:rsidR="00A2705B" w:rsidRDefault="00A2705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Posiadanie</w:t>
      </w:r>
      <w:proofErr w:type="spellEnd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possessio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dominium,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proprietas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corpus, animus,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detentio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suo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nomine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alieno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nomine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precarium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traditio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solo animo,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traditio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brevi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manu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corpore et animo,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constitutum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possessorium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possessio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interdicta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</w:t>
      </w:r>
    </w:p>
    <w:p w14:paraId="7EB01648" w14:textId="096C62F5" w:rsidR="00FD768B" w:rsidRPr="00EB531D" w:rsidRDefault="00A2705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val="en-US" w:eastAsia="pl-PL"/>
        </w:rPr>
      </w:pPr>
      <w:proofErr w:type="spellStart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Własność</w:t>
      </w:r>
      <w:proofErr w:type="spellEnd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– </w:t>
      </w:r>
      <w:proofErr w:type="spellStart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sposoby</w:t>
      </w:r>
      <w:proofErr w:type="spellEnd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nabycia</w:t>
      </w:r>
      <w:proofErr w:type="spellEnd"/>
      <w:r w:rsidRPr="00A2705B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mancipatio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in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iure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cessio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duplex dominium,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longi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temporis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praescriptio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communio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pro indiviso,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communi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dividundo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possidendi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utendi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abutendi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fruendi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disponendi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immissiones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iusta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causa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traditionis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usucapio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res habilis, titulus, fides, inter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absentes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inter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praesentes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accessio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temporis, res nullius, res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derelictae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thesaurus,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separatio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perceptio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accessio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alluvio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confusio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commixtio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specificatio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actio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finium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regundorum</w:t>
      </w:r>
      <w:proofErr w:type="spellEnd"/>
      <w:r w:rsidR="00FD768B"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</w:p>
    <w:p w14:paraId="4453B733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val="en-US"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 </w:t>
      </w:r>
    </w:p>
    <w:p w14:paraId="5AA800DC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  <w:t xml:space="preserve">III. Paremie </w:t>
      </w:r>
      <w:proofErr w:type="spellStart"/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  <w:t>łacińskie</w:t>
      </w:r>
      <w:proofErr w:type="spellEnd"/>
    </w:p>
    <w:p w14:paraId="7A35CFE2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D751ABE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hyperlink r:id="rId5" w:tooltip="Nemo plus iuris" w:history="1"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Nemo</w:t>
        </w:r>
        <w:proofErr w:type="spellEnd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 xml:space="preserve"> plus iuris ad </w:t>
        </w:r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alium</w:t>
        </w:r>
        <w:proofErr w:type="spellEnd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transferre</w:t>
        </w:r>
        <w:proofErr w:type="spellEnd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potest</w:t>
        </w:r>
        <w:proofErr w:type="spellEnd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quam</w:t>
        </w:r>
        <w:proofErr w:type="spellEnd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ipse</w:t>
        </w:r>
        <w:proofErr w:type="spellEnd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EB531D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2"/>
            <w:szCs w:val="22"/>
            <w:shd w:val="clear" w:color="auto" w:fill="FFFFFF"/>
          </w:rPr>
          <w:t>habet</w:t>
        </w:r>
        <w:proofErr w:type="spellEnd"/>
      </w:hyperlink>
      <w:r w:rsidRPr="00EB531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EB53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(D. 50, 17, 54) – Nie można </w:t>
      </w:r>
      <w:r w:rsidRPr="00EB531D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przenieść na drugiego więcej praw, niż ma się samemu</w:t>
      </w:r>
      <w:r w:rsidRPr="00EB531D">
        <w:rPr>
          <w:rFonts w:ascii="Times New Roman" w:hAnsi="Times New Roman" w:cs="Times New Roman"/>
          <w:i/>
          <w:iCs/>
          <w:color w:val="202122"/>
          <w:sz w:val="22"/>
          <w:szCs w:val="22"/>
        </w:rPr>
        <w:t>.</w:t>
      </w:r>
    </w:p>
    <w:p w14:paraId="108FDECA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Accessio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cedit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principali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(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D. 34, 2, 19, 13) – Przyrost przypada temu, co główne </w:t>
      </w:r>
    </w:p>
    <w:p w14:paraId="7A62B748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Superficies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solo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cedit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(G. 2, 73) – To, co jest na powierzchni, przypada gruntowi </w:t>
      </w:r>
    </w:p>
    <w:p w14:paraId="381E456F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lastRenderedPageBreak/>
        <w:t>Mala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fides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superveniens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non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nocet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(C. 7, 31, 1, 3) – Późniejsza zła wiara nie szkodzi </w:t>
      </w:r>
    </w:p>
    <w:p w14:paraId="7C5A8BF6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38B85800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 Student ma obowiązek pamięciowo </w:t>
      </w: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opanować brzmienie </w:t>
      </w:r>
      <w:proofErr w:type="spellStart"/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paremii</w:t>
      </w:r>
      <w:proofErr w:type="spellEnd"/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w języku łacińskim.</w:t>
      </w:r>
    </w:p>
    <w:p w14:paraId="1314C6C1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1F1989EB" w14:textId="77777777" w:rsidR="00FD768B" w:rsidRPr="00EB531D" w:rsidRDefault="00FD768B" w:rsidP="00FD768B">
      <w:pPr>
        <w:textAlignment w:val="baseline"/>
        <w:rPr>
          <w:rStyle w:val="Hipercze"/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1CCD1DE" w14:textId="77777777" w:rsidR="00FD768B" w:rsidRPr="00F24B9E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IV. Interpretacje tekstu źródłowego: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199BEECB" w14:textId="77777777" w:rsidR="00FD768B" w:rsidRPr="00F24B9E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AE1F5BB" w14:textId="44E6B028" w:rsidR="00FD768B" w:rsidRPr="00C33299" w:rsidRDefault="00C33299" w:rsidP="00FD768B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C3329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TEKST 1</w:t>
      </w:r>
    </w:p>
    <w:p w14:paraId="75ED5D53" w14:textId="77777777" w:rsidR="00C33299" w:rsidRDefault="00C33299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18014F0" w14:textId="17AA28D6" w:rsidR="00FD768B" w:rsidRPr="00E47B92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</w:pPr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D. 32, 52, 7a (</w:t>
      </w:r>
      <w:proofErr w:type="spellStart"/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Ulpianus</w:t>
      </w:r>
      <w:proofErr w:type="spellEnd"/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libro</w:t>
      </w:r>
      <w:proofErr w:type="spellEnd"/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24 ad </w:t>
      </w:r>
      <w:proofErr w:type="spellStart"/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Sabinum</w:t>
      </w:r>
      <w:proofErr w:type="spellEnd"/>
      <w:r w:rsidRPr="00C3329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)</w:t>
      </w:r>
      <w:r w:rsidRPr="00C3329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Quod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igitur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scribit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Sabinus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libros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bibliothecam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non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sequi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non per omnia verum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est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: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nam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interdum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armaria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quoque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debentur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quae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plerique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bibliothecas</w:t>
      </w:r>
      <w:proofErr w:type="spellEnd"/>
      <w:r w:rsidRPr="00C33299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appellant. </w:t>
      </w:r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Plane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si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mihi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proponas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adhaerentia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esse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membro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armaria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vel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adfixa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sine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dubio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non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debebuntur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cum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aedificii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portio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sint</w:t>
      </w:r>
      <w:proofErr w:type="spellEnd"/>
      <w:r w:rsidRPr="00E47B9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.</w:t>
      </w:r>
    </w:p>
    <w:p w14:paraId="341490B4" w14:textId="77777777" w:rsidR="00E47B92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</w:p>
    <w:p w14:paraId="34B560A3" w14:textId="70BB89BE" w:rsidR="00E47B92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47B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D. 32, 52, 7a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Ulpian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księdze 23 komentarza do edyktu)</w:t>
      </w:r>
    </w:p>
    <w:p w14:paraId="664A4559" w14:textId="77777777" w:rsidR="00E47B92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C4C01A9" w14:textId="1C97F678" w:rsidR="00E47B92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47B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Zatem to, co pisze </w:t>
      </w:r>
      <w:proofErr w:type="spellStart"/>
      <w:r w:rsidRPr="00E47B92">
        <w:rPr>
          <w:rFonts w:ascii="Times New Roman" w:eastAsia="Times New Roman" w:hAnsi="Times New Roman" w:cs="Times New Roman"/>
          <w:sz w:val="22"/>
          <w:szCs w:val="22"/>
          <w:lang w:eastAsia="pl-PL"/>
        </w:rPr>
        <w:t>Sa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binus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 książki nie dzielą losu biblioteki, nie we wszystkim jest prawdziwe, albowiem niekiedy należą się i szafy</w:t>
      </w:r>
      <w:r w:rsidR="006444EE">
        <w:rPr>
          <w:rFonts w:ascii="Times New Roman" w:eastAsia="Times New Roman" w:hAnsi="Times New Roman" w:cs="Times New Roman"/>
          <w:sz w:val="22"/>
          <w:szCs w:val="22"/>
          <w:lang w:eastAsia="pl-PL"/>
        </w:rPr>
        <w:t>, które bardzo wielu nazywa bibliotekami. Gdy się mówi wyraźnie, że szafy byłyby częściami domu, lub byłyby zamocowane, to bez wątpienia nie będą należały, skoro są częścią budynku</w:t>
      </w:r>
    </w:p>
    <w:p w14:paraId="345ED7B5" w14:textId="77777777" w:rsidR="006444EE" w:rsidRDefault="006444EE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2DF67C0" w14:textId="6C1FAE0B" w:rsidR="006444EE" w:rsidRDefault="006444EE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Zagadnienia problemowe:</w:t>
      </w:r>
    </w:p>
    <w:p w14:paraId="31BD37C3" w14:textId="77777777" w:rsidR="006444EE" w:rsidRDefault="006444EE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EA5D0A2" w14:textId="4C4657F7" w:rsidR="006444EE" w:rsidRDefault="006444EE" w:rsidP="006444EE">
      <w:pPr>
        <w:pStyle w:val="Akapitzlist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Co to jest część składowa rzeczy</w:t>
      </w:r>
    </w:p>
    <w:p w14:paraId="0C153C24" w14:textId="5636ABB1" w:rsidR="00A421D1" w:rsidRDefault="00A421D1" w:rsidP="006444EE">
      <w:pPr>
        <w:pStyle w:val="Akapitzlist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Czym różni się rzecz złożona od rzeczy zbiorowej</w:t>
      </w:r>
    </w:p>
    <w:p w14:paraId="446911E9" w14:textId="4B305B34" w:rsidR="0024797A" w:rsidRDefault="00A421D1" w:rsidP="0024797A">
      <w:pPr>
        <w:pStyle w:val="Akapitzlist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jaki sposób przenosi się </w:t>
      </w:r>
      <w:r w:rsidR="0024797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własności rzeczy złożonej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a w jaki zbiorowej</w:t>
      </w:r>
    </w:p>
    <w:p w14:paraId="15176C5B" w14:textId="77777777" w:rsidR="00AA7B2F" w:rsidRDefault="00AA7B2F" w:rsidP="00AA7B2F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22EBB48" w14:textId="6D0A2A78" w:rsidR="00AA7B2F" w:rsidRPr="00AA7B2F" w:rsidRDefault="00AA7B2F" w:rsidP="00AA7B2F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Proszę przeczytać o podziale rzeczy w podręczniku W. Rozwadowski, Prawo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rzymskie.Zarys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wykładu wraz z wyborem źródeł, Wyd. 2, s. 111-112.</w:t>
      </w:r>
    </w:p>
    <w:p w14:paraId="3ABA8581" w14:textId="77777777" w:rsid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94CE2AE" w14:textId="77777777" w:rsid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58F7C21" w14:textId="2A54E874" w:rsidR="00C33299" w:rsidRPr="00C33299" w:rsidRDefault="00C33299" w:rsidP="0024797A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C3329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TEKST 2</w:t>
      </w:r>
    </w:p>
    <w:p w14:paraId="73AE9F33" w14:textId="77777777" w:rsidR="00C33299" w:rsidRDefault="00C33299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F0C47EC" w14:textId="5E34D2D2" w:rsidR="0024797A" w:rsidRPr="00AA7B2F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A7B2F">
        <w:rPr>
          <w:rFonts w:ascii="Times New Roman" w:eastAsia="Times New Roman" w:hAnsi="Times New Roman" w:cs="Times New Roman"/>
          <w:sz w:val="22"/>
          <w:szCs w:val="22"/>
          <w:lang w:eastAsia="pl-PL"/>
        </w:rPr>
        <w:t>18.1.74 (</w:t>
      </w:r>
      <w:proofErr w:type="spellStart"/>
      <w:r w:rsidRPr="00AA7B2F">
        <w:rPr>
          <w:rFonts w:ascii="Times New Roman" w:eastAsia="Times New Roman" w:hAnsi="Times New Roman" w:cs="Times New Roman"/>
          <w:sz w:val="22"/>
          <w:szCs w:val="22"/>
          <w:lang w:eastAsia="pl-PL"/>
        </w:rPr>
        <w:t>Papinianus</w:t>
      </w:r>
      <w:proofErr w:type="spellEnd"/>
      <w:r w:rsidRPr="00AA7B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libro primo </w:t>
      </w:r>
      <w:proofErr w:type="spellStart"/>
      <w:r w:rsidRPr="00AA7B2F">
        <w:rPr>
          <w:rFonts w:ascii="Times New Roman" w:eastAsia="Times New Roman" w:hAnsi="Times New Roman" w:cs="Times New Roman"/>
          <w:sz w:val="22"/>
          <w:szCs w:val="22"/>
          <w:lang w:eastAsia="pl-PL"/>
        </w:rPr>
        <w:t>definitionum</w:t>
      </w:r>
      <w:proofErr w:type="spellEnd"/>
      <w:r w:rsidRPr="00AA7B2F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</w:p>
    <w:p w14:paraId="45301ED2" w14:textId="77777777" w:rsidR="0024797A" w:rsidRPr="00AA7B2F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0ABEBF6" w14:textId="621B4251" w:rsidR="0024797A" w:rsidRP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</w:pP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Clavibus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traditis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ita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mercium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in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horreis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conditarum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possessio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tradita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videtur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si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claves apud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horrea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traditae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sint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: quo facto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confestim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emptor dominium et possessionem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adipiscitur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etsi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non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aperuerit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horrea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: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quod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si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venditoris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merces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non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fuerunt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,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usucapio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confestim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 xml:space="preserve"> </w:t>
      </w:r>
      <w:proofErr w:type="spellStart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inchoabitur</w:t>
      </w:r>
      <w:proofErr w:type="spellEnd"/>
      <w:r w:rsidRPr="0024797A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pl-PL"/>
        </w:rPr>
        <w:t>.</w:t>
      </w:r>
    </w:p>
    <w:p w14:paraId="4D3632CA" w14:textId="77777777" w:rsidR="0024797A" w:rsidRP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</w:p>
    <w:p w14:paraId="0BC2EA66" w14:textId="77777777" w:rsidR="0024797A" w:rsidRP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</w:p>
    <w:p w14:paraId="24D843D8" w14:textId="60A617F4" w:rsidR="0024797A" w:rsidRP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797A">
        <w:rPr>
          <w:rFonts w:ascii="Times New Roman" w:eastAsia="Times New Roman" w:hAnsi="Times New Roman" w:cs="Times New Roman"/>
          <w:sz w:val="22"/>
          <w:szCs w:val="22"/>
          <w:lang w:eastAsia="pl-PL"/>
        </w:rPr>
        <w:t>18.1.74 (</w:t>
      </w:r>
      <w:proofErr w:type="spellStart"/>
      <w:r w:rsidRPr="0024797A">
        <w:rPr>
          <w:rFonts w:ascii="Times New Roman" w:eastAsia="Times New Roman" w:hAnsi="Times New Roman" w:cs="Times New Roman"/>
          <w:sz w:val="22"/>
          <w:szCs w:val="22"/>
          <w:lang w:eastAsia="pl-PL"/>
        </w:rPr>
        <w:t>Papinian</w:t>
      </w:r>
      <w:proofErr w:type="spellEnd"/>
      <w:r w:rsidRPr="0024797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ks. 1 Definicji)</w:t>
      </w:r>
    </w:p>
    <w:p w14:paraId="563D0508" w14:textId="77777777" w:rsidR="0024797A" w:rsidRP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49703B0" w14:textId="5150B6DF" w:rsid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797A">
        <w:rPr>
          <w:rFonts w:ascii="Times New Roman" w:eastAsia="Times New Roman" w:hAnsi="Times New Roman" w:cs="Times New Roman"/>
          <w:sz w:val="22"/>
          <w:szCs w:val="22"/>
          <w:lang w:eastAsia="pl-PL"/>
        </w:rPr>
        <w:t>Posiadanie towarów przechowywanych w s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pichrzu przenosi się przez wydanie kluczy tylko wtedy, gdy wydano je w pobliżu spichrza. Po tym fakcie kupujący nabywa natychmiast własność i posiadanie, nawet jeśli spichrza nie otworzył. Jeśli natomiast towary nie były własnością sprzedawcy, natychmiast zaczynało się zasiedzenie. </w:t>
      </w:r>
    </w:p>
    <w:p w14:paraId="3BF2EC17" w14:textId="77777777" w:rsidR="0024797A" w:rsidRPr="0024797A" w:rsidRDefault="0024797A" w:rsidP="0024797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A4885A" w14:textId="369705A9" w:rsidR="00A421D1" w:rsidRDefault="00A421D1" w:rsidP="0024797A">
      <w:pPr>
        <w:pStyle w:val="Akapitzlist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Jakie elementy składały się na posiadanie?</w:t>
      </w:r>
    </w:p>
    <w:p w14:paraId="1F35572F" w14:textId="031D5E6E" w:rsidR="006444EE" w:rsidRDefault="0024797A" w:rsidP="0024797A">
      <w:pPr>
        <w:pStyle w:val="Akapitzlist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jaki </w:t>
      </w:r>
      <w:r w:rsidR="00A421D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typowy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sposób</w:t>
      </w:r>
      <w:r w:rsidR="00A421D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można było</w:t>
      </w:r>
      <w:r w:rsidR="00A421D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przenieść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posiadanie</w:t>
      </w:r>
      <w:r w:rsidR="00A421D1">
        <w:rPr>
          <w:rFonts w:ascii="Times New Roman" w:eastAsia="Times New Roman" w:hAnsi="Times New Roman" w:cs="Times New Roman"/>
          <w:sz w:val="22"/>
          <w:szCs w:val="22"/>
          <w:lang w:eastAsia="pl-PL"/>
        </w:rPr>
        <w:t>?</w:t>
      </w:r>
    </w:p>
    <w:p w14:paraId="471AA038" w14:textId="0B56D9D2" w:rsidR="00A421D1" w:rsidRDefault="00A421D1" w:rsidP="0024797A">
      <w:pPr>
        <w:pStyle w:val="Akapitzlist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 można było nabyć posiadanie bez wydania władztwa rzeczy?</w:t>
      </w:r>
    </w:p>
    <w:p w14:paraId="6B66DB16" w14:textId="5AC0FF5B" w:rsidR="0024797A" w:rsidRDefault="00A421D1" w:rsidP="0024797A">
      <w:pPr>
        <w:pStyle w:val="Akapitzlist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Jaka zasada warunkowała nabycie własności w przytoczonym fragmencie?</w:t>
      </w:r>
    </w:p>
    <w:p w14:paraId="168BD955" w14:textId="38CA5385" w:rsidR="00A421D1" w:rsidRDefault="00A421D1" w:rsidP="0024797A">
      <w:pPr>
        <w:pStyle w:val="Akapitzlist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 każdy rodzaj posiadania prowadził do zasiedzenia?</w:t>
      </w:r>
    </w:p>
    <w:p w14:paraId="63F2AA57" w14:textId="77777777" w:rsidR="00A421D1" w:rsidRPr="0024797A" w:rsidRDefault="00A421D1" w:rsidP="00A421D1">
      <w:pPr>
        <w:pStyle w:val="Akapitzlist"/>
        <w:ind w:left="108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2129A19" w14:textId="77777777" w:rsidR="00E47B92" w:rsidRPr="0024797A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C6A0B00" w14:textId="77777777" w:rsidR="00E47B92" w:rsidRDefault="00E47B92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C205B30" w14:textId="77777777" w:rsidR="00C33299" w:rsidRDefault="00C33299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10CD8B" w14:textId="77777777" w:rsidR="00C33299" w:rsidRPr="0024797A" w:rsidRDefault="00C33299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02E3E4E" w14:textId="77777777" w:rsidR="00E47B92" w:rsidRPr="0024797A" w:rsidRDefault="00E47B92" w:rsidP="00FD768B">
      <w:pPr>
        <w:jc w:val="both"/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</w:p>
    <w:p w14:paraId="19B0139B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Schemat interpretacji tekstu źródłowego</w:t>
      </w:r>
    </w:p>
    <w:p w14:paraId="12ECE1AD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49A5E73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Do interpretacji tekstu niezbędne są materiały pomocnicze zamieszczone na stronie internetowej Zakładu Prawa Rzymskiego.</w:t>
      </w:r>
    </w:p>
    <w:p w14:paraId="512628E2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FFB4E67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Interpretacji tekstu źródłowego dokonujemy w oparciu o przedstawiony niżej schemat. Schemat odnosi się do kontekstu źródłowego oraz elementów ważnych w pracy prawnika: ustalenie stanu faktycznego, ustalenie stanu prawnego, ważenie interesów i wartości, rozstrzygnięcie oraz jego uzasadnienie.</w:t>
      </w:r>
    </w:p>
    <w:p w14:paraId="26FB9944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3382FF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Uwaga! Przy interpretacji tekstu na obecnych zajęciach, ze względu na jego charakter i początek pracy studenta nad tekstem, zwracamy uwagę na pierwszy element schematu, czyli na kontekst źródłowy tekstu.</w:t>
      </w:r>
    </w:p>
    <w:p w14:paraId="5C353A71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10FD7AC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Kontekst źródłowy. Określenie miejsca tekstu w dyskusji prawników rzymskich (miejsce w tekście źródłowym oraz informacja podana w 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inscriptio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plus informacje o jurystach – niekiedy informacje w tekście).</w:t>
      </w:r>
    </w:p>
    <w:p w14:paraId="57D1940F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E29F498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2) Rekonstrukcja omawianego w tekście stanu faktycznego (rzeczywisty lub hipotetyczny stan faktyczny).</w:t>
      </w:r>
    </w:p>
    <w:p w14:paraId="4A9934CC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28B5E2F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3) Wskazanie problemu prawnego będącego przedmiotem oceny (kwestia niejasna, dyskusyjna).</w:t>
      </w:r>
    </w:p>
    <w:p w14:paraId="67A91660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CCC50E4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4) Nazwanie zasad rozstrzygnięcia (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rationes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decidendi</w:t>
      </w:r>
      <w:proofErr w:type="spellEnd"/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) przyjętych przez jurystów oraz ich ocena plus znaczenie oraz wykorzystanie w tradycji romanistycznej.</w:t>
      </w:r>
    </w:p>
    <w:p w14:paraId="254829E0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C7B3131" w14:textId="77777777" w:rsidR="00FD768B" w:rsidRPr="00EB531D" w:rsidRDefault="00FD768B" w:rsidP="00FD768B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8C87608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D650EB6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VI. Planowany przebieg zajęć:</w:t>
      </w: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68F2350E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sprawdzenie obecności </w:t>
      </w:r>
    </w:p>
    <w:p w14:paraId="2EEA4B3B" w14:textId="77777777" w:rsidR="00FD768B" w:rsidRPr="00EB531D" w:rsidRDefault="00FD768B" w:rsidP="00FD768B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test z pojęć łacińskich</w:t>
      </w:r>
    </w:p>
    <w:p w14:paraId="6D54D48C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interpretacja tekstu źródłowego </w:t>
      </w:r>
    </w:p>
    <w:p w14:paraId="6A6AEEF3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zagadnienia problemowe – pytania i wyjaśnienia </w:t>
      </w:r>
    </w:p>
    <w:p w14:paraId="235DD64B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podsumowanie zajęć</w:t>
      </w:r>
    </w:p>
    <w:p w14:paraId="61F2B1F1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36A15B52" w14:textId="77777777" w:rsidR="00FD768B" w:rsidRPr="00EB531D" w:rsidRDefault="00FD768B" w:rsidP="00FD768B">
      <w:pPr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EB531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67391A6D" w14:textId="77777777" w:rsidR="00FD768B" w:rsidRPr="00EB531D" w:rsidRDefault="00FD768B" w:rsidP="00FD768B">
      <w:pPr>
        <w:rPr>
          <w:sz w:val="22"/>
          <w:szCs w:val="22"/>
        </w:rPr>
      </w:pPr>
    </w:p>
    <w:p w14:paraId="01FBFD6D" w14:textId="77777777" w:rsidR="002E4818" w:rsidRDefault="002E4818"/>
    <w:sectPr w:rsidR="002E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223F6"/>
    <w:multiLevelType w:val="hybridMultilevel"/>
    <w:tmpl w:val="FF5AAA10"/>
    <w:lvl w:ilvl="0" w:tplc="0D282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D72197"/>
    <w:multiLevelType w:val="hybridMultilevel"/>
    <w:tmpl w:val="1E5AD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576D"/>
    <w:multiLevelType w:val="hybridMultilevel"/>
    <w:tmpl w:val="47B8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58AC"/>
    <w:multiLevelType w:val="hybridMultilevel"/>
    <w:tmpl w:val="3B06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5247">
    <w:abstractNumId w:val="2"/>
  </w:num>
  <w:num w:numId="2" w16cid:durableId="1300766418">
    <w:abstractNumId w:val="3"/>
  </w:num>
  <w:num w:numId="3" w16cid:durableId="1665081843">
    <w:abstractNumId w:val="1"/>
  </w:num>
  <w:num w:numId="4" w16cid:durableId="95355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8B"/>
    <w:rsid w:val="00013EEE"/>
    <w:rsid w:val="0024797A"/>
    <w:rsid w:val="002E4818"/>
    <w:rsid w:val="003079DB"/>
    <w:rsid w:val="003C0CAF"/>
    <w:rsid w:val="004445EC"/>
    <w:rsid w:val="006444EE"/>
    <w:rsid w:val="00761224"/>
    <w:rsid w:val="008326CC"/>
    <w:rsid w:val="008E017D"/>
    <w:rsid w:val="00903773"/>
    <w:rsid w:val="00A2705B"/>
    <w:rsid w:val="00A421D1"/>
    <w:rsid w:val="00AA7B2F"/>
    <w:rsid w:val="00AC0F58"/>
    <w:rsid w:val="00AC7E86"/>
    <w:rsid w:val="00C33299"/>
    <w:rsid w:val="00E47B92"/>
    <w:rsid w:val="00E6403B"/>
    <w:rsid w:val="00F9632F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7301E"/>
  <w15:chartTrackingRefBased/>
  <w15:docId w15:val="{632A1B1D-39FE-8144-85D5-9555506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68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6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Nemo_plus_iur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Kowalczyk</dc:creator>
  <cp:keywords/>
  <dc:description/>
  <cp:lastModifiedBy>Beata Kowalczyk</cp:lastModifiedBy>
  <cp:revision>2</cp:revision>
  <dcterms:created xsi:type="dcterms:W3CDTF">2024-11-14T21:20:00Z</dcterms:created>
  <dcterms:modified xsi:type="dcterms:W3CDTF">2024-11-14T21:20:00Z</dcterms:modified>
</cp:coreProperties>
</file>