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96" w:rsidRDefault="00E53847">
      <w:r>
        <w:t>KARTA PRACY</w:t>
      </w:r>
    </w:p>
    <w:p w:rsidR="006C08B2" w:rsidRDefault="006C08B2">
      <w:r>
        <w:t xml:space="preserve">Instrukcja: karta zawiera zadania do pisemnego własnoręcznego opracowania na podstawie lektury podręcznika </w:t>
      </w:r>
      <w:r w:rsidRPr="006C08B2">
        <w:rPr>
          <w:i/>
          <w:iCs/>
        </w:rPr>
        <w:t>Prawo rzymskie. U podstaw prawa prywatnego</w:t>
      </w:r>
      <w:r>
        <w:t xml:space="preserve"> (W. </w:t>
      </w:r>
      <w:proofErr w:type="spellStart"/>
      <w:r>
        <w:t>Dajczak</w:t>
      </w:r>
      <w:proofErr w:type="spellEnd"/>
      <w:r>
        <w:t xml:space="preserve">, T. </w:t>
      </w:r>
      <w:proofErr w:type="spellStart"/>
      <w:r>
        <w:t>Giaro</w:t>
      </w:r>
      <w:proofErr w:type="spellEnd"/>
      <w:r>
        <w:t xml:space="preserve">, F. </w:t>
      </w:r>
      <w:proofErr w:type="spellStart"/>
      <w:r>
        <w:t>Longchamps</w:t>
      </w:r>
      <w:proofErr w:type="spellEnd"/>
      <w:r>
        <w:t xml:space="preserve"> de </w:t>
      </w:r>
      <w:proofErr w:type="spellStart"/>
      <w:r>
        <w:t>B</w:t>
      </w:r>
      <w:r w:rsidRPr="006C08B2">
        <w:rPr>
          <w:rFonts w:cstheme="minorHAnsi"/>
        </w:rPr>
        <w:t>é</w:t>
      </w:r>
      <w:r>
        <w:t>rier</w:t>
      </w:r>
      <w:proofErr w:type="spellEnd"/>
      <w:r>
        <w:t>)</w:t>
      </w:r>
      <w:bookmarkStart w:id="0" w:name="_GoBack"/>
      <w:bookmarkEnd w:id="0"/>
    </w:p>
    <w:p w:rsidR="00E53847" w:rsidRDefault="00E53847" w:rsidP="00E53847">
      <w:pPr>
        <w:pStyle w:val="Akapitzlist"/>
        <w:numPr>
          <w:ilvl w:val="0"/>
          <w:numId w:val="1"/>
        </w:numPr>
      </w:pPr>
      <w:r>
        <w:t>Wymień trzy starożytne podstawy kultury europejskiej</w:t>
      </w:r>
    </w:p>
    <w:p w:rsidR="00E53847" w:rsidRDefault="00E53847" w:rsidP="00E53847">
      <w:pPr>
        <w:pStyle w:val="Akapitzlist"/>
        <w:numPr>
          <w:ilvl w:val="0"/>
          <w:numId w:val="1"/>
        </w:numPr>
      </w:pPr>
      <w:r>
        <w:t>Prawo rzymskie w postaci prawa powszechnego (</w:t>
      </w:r>
      <w:proofErr w:type="spellStart"/>
      <w:r>
        <w:t>ius</w:t>
      </w:r>
      <w:proofErr w:type="spellEnd"/>
      <w:r>
        <w:t xml:space="preserve"> </w:t>
      </w:r>
      <w:proofErr w:type="spellStart"/>
      <w:r>
        <w:t>commune</w:t>
      </w:r>
      <w:proofErr w:type="spellEnd"/>
      <w:r>
        <w:t>)</w:t>
      </w:r>
    </w:p>
    <w:p w:rsidR="00E53847" w:rsidRDefault="00E53847" w:rsidP="00E53847">
      <w:pPr>
        <w:pStyle w:val="Akapitzlist"/>
        <w:numPr>
          <w:ilvl w:val="0"/>
          <w:numId w:val="1"/>
        </w:numPr>
      </w:pPr>
      <w:r>
        <w:t>Źródła powstania prawa i źródła poznania prawa</w:t>
      </w:r>
    </w:p>
    <w:p w:rsidR="00E53847" w:rsidRDefault="00E53847" w:rsidP="00E53847">
      <w:pPr>
        <w:pStyle w:val="Akapitzlist"/>
        <w:numPr>
          <w:ilvl w:val="0"/>
          <w:numId w:val="1"/>
        </w:numPr>
      </w:pPr>
      <w:r>
        <w:t>Wymień cechy Rzymian odróżniające ich od Greków (uwaga na stereotypy!)</w:t>
      </w:r>
    </w:p>
    <w:p w:rsidR="00E53847" w:rsidRDefault="00950B52" w:rsidP="00E53847">
      <w:pPr>
        <w:pStyle w:val="Akapitzlist"/>
        <w:numPr>
          <w:ilvl w:val="0"/>
          <w:numId w:val="1"/>
        </w:numPr>
      </w:pPr>
      <w:r>
        <w:t xml:space="preserve">Zasada osobowości lub personalności prawa Kwirytów – aż do </w:t>
      </w:r>
      <w:proofErr w:type="spellStart"/>
      <w:r>
        <w:t>constitutio</w:t>
      </w:r>
      <w:proofErr w:type="spellEnd"/>
      <w:r>
        <w:t xml:space="preserve"> </w:t>
      </w:r>
      <w:proofErr w:type="spellStart"/>
      <w:r>
        <w:t>Antoniniana</w:t>
      </w:r>
      <w:proofErr w:type="spellEnd"/>
      <w:r>
        <w:t xml:space="preserve"> (212 po Chr.)</w:t>
      </w:r>
    </w:p>
    <w:p w:rsidR="00950B52" w:rsidRDefault="00950B52" w:rsidP="00E53847">
      <w:pPr>
        <w:pStyle w:val="Akapitzlist"/>
        <w:numPr>
          <w:ilvl w:val="0"/>
          <w:numId w:val="1"/>
        </w:numPr>
      </w:pPr>
      <w:r>
        <w:t>Prawo publiczne i prywatne</w:t>
      </w:r>
    </w:p>
    <w:p w:rsidR="00950B52" w:rsidRDefault="00950B52" w:rsidP="00E53847">
      <w:pPr>
        <w:pStyle w:val="Akapitzlist"/>
        <w:numPr>
          <w:ilvl w:val="0"/>
          <w:numId w:val="1"/>
        </w:numPr>
      </w:pPr>
      <w:r>
        <w:t xml:space="preserve">Res </w:t>
      </w:r>
      <w:proofErr w:type="spellStart"/>
      <w:r>
        <w:t>publica</w:t>
      </w:r>
      <w:proofErr w:type="spellEnd"/>
      <w:r>
        <w:t xml:space="preserve"> jako obywatelska wspólnota prawa</w:t>
      </w:r>
    </w:p>
    <w:p w:rsidR="00950B52" w:rsidRDefault="00950B52" w:rsidP="00E53847">
      <w:pPr>
        <w:pStyle w:val="Akapitzlist"/>
        <w:numPr>
          <w:ilvl w:val="0"/>
          <w:numId w:val="1"/>
        </w:numPr>
      </w:pPr>
      <w:r>
        <w:t>Ustrój mieszany rzymskiej republiki jako pierwowzór monteskiuszowskiego podziału władz</w:t>
      </w:r>
    </w:p>
    <w:p w:rsidR="00950B52" w:rsidRDefault="00950B52" w:rsidP="00E53847">
      <w:pPr>
        <w:pStyle w:val="Akapitzlist"/>
        <w:numPr>
          <w:ilvl w:val="0"/>
          <w:numId w:val="1"/>
        </w:numPr>
      </w:pPr>
      <w:r>
        <w:t xml:space="preserve">Wyjaśnij zdanie: non </w:t>
      </w:r>
      <w:proofErr w:type="spellStart"/>
      <w:r>
        <w:t>omne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licet</w:t>
      </w:r>
      <w:proofErr w:type="spellEnd"/>
      <w:r>
        <w:t xml:space="preserve"> </w:t>
      </w:r>
      <w:proofErr w:type="spellStart"/>
      <w:r>
        <w:t>honestum</w:t>
      </w:r>
      <w:proofErr w:type="spellEnd"/>
      <w:r>
        <w:t xml:space="preserve"> </w:t>
      </w:r>
      <w:proofErr w:type="spellStart"/>
      <w:r>
        <w:t>est</w:t>
      </w:r>
      <w:proofErr w:type="spellEnd"/>
    </w:p>
    <w:p w:rsidR="00950B52" w:rsidRDefault="00950B52" w:rsidP="00E53847">
      <w:pPr>
        <w:pStyle w:val="Akapitzlist"/>
        <w:numPr>
          <w:ilvl w:val="0"/>
          <w:numId w:val="1"/>
        </w:numPr>
      </w:pPr>
      <w:r>
        <w:t>Źródła dawnego prawa rzymskiego (</w:t>
      </w:r>
      <w:proofErr w:type="spellStart"/>
      <w:r>
        <w:t>ius</w:t>
      </w:r>
      <w:proofErr w:type="spellEnd"/>
      <w:r>
        <w:t xml:space="preserve"> </w:t>
      </w:r>
      <w:proofErr w:type="spellStart"/>
      <w:r>
        <w:t>civile</w:t>
      </w:r>
      <w:proofErr w:type="spellEnd"/>
      <w:r>
        <w:t>)</w:t>
      </w:r>
    </w:p>
    <w:p w:rsidR="00950B52" w:rsidRDefault="00950B52" w:rsidP="00E53847">
      <w:pPr>
        <w:pStyle w:val="Akapitzlist"/>
        <w:numPr>
          <w:ilvl w:val="0"/>
          <w:numId w:val="1"/>
        </w:numPr>
      </w:pPr>
      <w:r>
        <w:t xml:space="preserve">Wyjaśnij pojęcie </w:t>
      </w:r>
      <w:proofErr w:type="spellStart"/>
      <w:r>
        <w:t>ius</w:t>
      </w:r>
      <w:proofErr w:type="spellEnd"/>
      <w:r>
        <w:t xml:space="preserve"> honorarium</w:t>
      </w:r>
    </w:p>
    <w:p w:rsidR="00950B52" w:rsidRDefault="00950B52" w:rsidP="00E53847">
      <w:pPr>
        <w:pStyle w:val="Akapitzlist"/>
        <w:numPr>
          <w:ilvl w:val="0"/>
          <w:numId w:val="1"/>
        </w:numPr>
      </w:pPr>
      <w:r>
        <w:t xml:space="preserve">Pojęcie </w:t>
      </w:r>
      <w:proofErr w:type="spellStart"/>
      <w:r>
        <w:t>desuetudo</w:t>
      </w:r>
      <w:proofErr w:type="spellEnd"/>
    </w:p>
    <w:p w:rsidR="00950B52" w:rsidRDefault="00950B52" w:rsidP="00E53847">
      <w:pPr>
        <w:pStyle w:val="Akapitzlist"/>
        <w:numPr>
          <w:ilvl w:val="0"/>
          <w:numId w:val="1"/>
        </w:numPr>
      </w:pPr>
      <w:proofErr w:type="spellStart"/>
      <w:r>
        <w:t>Ius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, </w:t>
      </w:r>
      <w:proofErr w:type="spellStart"/>
      <w:r>
        <w:t>ius</w:t>
      </w:r>
      <w:proofErr w:type="spellEnd"/>
      <w:r>
        <w:t xml:space="preserve"> </w:t>
      </w:r>
      <w:proofErr w:type="spellStart"/>
      <w:r>
        <w:t>gentium</w:t>
      </w:r>
      <w:proofErr w:type="spellEnd"/>
      <w:r>
        <w:t xml:space="preserve">, </w:t>
      </w:r>
      <w:proofErr w:type="spellStart"/>
      <w:r>
        <w:t>ius</w:t>
      </w:r>
      <w:proofErr w:type="spellEnd"/>
      <w:r>
        <w:t xml:space="preserve"> </w:t>
      </w:r>
      <w:proofErr w:type="spellStart"/>
      <w:r>
        <w:t>naturale</w:t>
      </w:r>
      <w:proofErr w:type="spellEnd"/>
    </w:p>
    <w:p w:rsidR="00950B52" w:rsidRDefault="00950B52" w:rsidP="00E53847">
      <w:pPr>
        <w:pStyle w:val="Akapitzlist"/>
        <w:numPr>
          <w:ilvl w:val="0"/>
          <w:numId w:val="1"/>
        </w:numPr>
      </w:pPr>
      <w:r>
        <w:t xml:space="preserve">Jurysprudencja </w:t>
      </w:r>
      <w:proofErr w:type="spellStart"/>
      <w:r>
        <w:t>późnorepublikańska</w:t>
      </w:r>
      <w:proofErr w:type="spellEnd"/>
      <w:r>
        <w:t xml:space="preserve"> /laicyzacja, </w:t>
      </w:r>
      <w:proofErr w:type="spellStart"/>
      <w:r>
        <w:t>Ius</w:t>
      </w:r>
      <w:proofErr w:type="spellEnd"/>
      <w:r>
        <w:t xml:space="preserve"> </w:t>
      </w:r>
      <w:proofErr w:type="spellStart"/>
      <w:r>
        <w:t>Aelianum</w:t>
      </w:r>
      <w:proofErr w:type="spellEnd"/>
      <w:r>
        <w:t xml:space="preserve">, </w:t>
      </w:r>
      <w:proofErr w:type="spellStart"/>
      <w:r>
        <w:t>regula</w:t>
      </w:r>
      <w:proofErr w:type="spellEnd"/>
      <w:r>
        <w:t xml:space="preserve"> </w:t>
      </w:r>
      <w:proofErr w:type="spellStart"/>
      <w:r>
        <w:t>Catoniana</w:t>
      </w:r>
      <w:proofErr w:type="spellEnd"/>
      <w:r>
        <w:t xml:space="preserve">, </w:t>
      </w:r>
      <w:proofErr w:type="spellStart"/>
      <w:r>
        <w:t>quoad</w:t>
      </w:r>
      <w:proofErr w:type="spellEnd"/>
      <w:r>
        <w:t xml:space="preserve"> initio </w:t>
      </w:r>
      <w:proofErr w:type="spellStart"/>
      <w:r>
        <w:t>vitiosum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…, jurysprudencja </w:t>
      </w:r>
      <w:proofErr w:type="spellStart"/>
      <w:r>
        <w:t>kautelarna</w:t>
      </w:r>
      <w:proofErr w:type="spellEnd"/>
      <w:r>
        <w:t xml:space="preserve">, </w:t>
      </w:r>
      <w:proofErr w:type="spellStart"/>
      <w:r>
        <w:t>auctoritas</w:t>
      </w:r>
      <w:proofErr w:type="spellEnd"/>
      <w:r>
        <w:t xml:space="preserve"> </w:t>
      </w:r>
      <w:proofErr w:type="spellStart"/>
      <w:r>
        <w:t>jusrysty</w:t>
      </w:r>
      <w:proofErr w:type="spellEnd"/>
      <w:r>
        <w:t>/</w:t>
      </w:r>
    </w:p>
    <w:p w:rsidR="00950B52" w:rsidRDefault="00950B52" w:rsidP="00E53847">
      <w:pPr>
        <w:pStyle w:val="Akapitzlist"/>
        <w:numPr>
          <w:ilvl w:val="0"/>
          <w:numId w:val="1"/>
        </w:numPr>
      </w:pPr>
      <w:r>
        <w:t>Źródła prawa okresu pryncypatu – konstytucje cesarskie</w:t>
      </w:r>
    </w:p>
    <w:p w:rsidR="00BB3F72" w:rsidRDefault="00BB3F72" w:rsidP="00E53847">
      <w:pPr>
        <w:pStyle w:val="Akapitzlist"/>
        <w:numPr>
          <w:ilvl w:val="0"/>
          <w:numId w:val="1"/>
        </w:numPr>
      </w:pPr>
      <w:proofErr w:type="spellStart"/>
      <w:r>
        <w:t>Ius</w:t>
      </w:r>
      <w:proofErr w:type="spellEnd"/>
      <w:r>
        <w:t xml:space="preserve"> </w:t>
      </w:r>
      <w:proofErr w:type="spellStart"/>
      <w:r>
        <w:t>respondendi</w:t>
      </w:r>
      <w:proofErr w:type="spellEnd"/>
      <w:r>
        <w:t xml:space="preserve"> ex </w:t>
      </w:r>
      <w:proofErr w:type="spellStart"/>
      <w:r>
        <w:t>auctoritate</w:t>
      </w:r>
      <w:proofErr w:type="spellEnd"/>
      <w:r>
        <w:t xml:space="preserve"> </w:t>
      </w:r>
      <w:proofErr w:type="spellStart"/>
      <w:r>
        <w:t>principis</w:t>
      </w:r>
      <w:proofErr w:type="spellEnd"/>
    </w:p>
    <w:p w:rsidR="00BB3F72" w:rsidRDefault="00BB3F72" w:rsidP="00E53847">
      <w:pPr>
        <w:pStyle w:val="Akapitzlist"/>
        <w:numPr>
          <w:ilvl w:val="0"/>
          <w:numId w:val="1"/>
        </w:numPr>
      </w:pPr>
      <w:r>
        <w:t xml:space="preserve">Szkoły prawa </w:t>
      </w:r>
      <w:proofErr w:type="spellStart"/>
      <w:r>
        <w:t>Prokulianów</w:t>
      </w:r>
      <w:proofErr w:type="spellEnd"/>
      <w:r>
        <w:t xml:space="preserve"> i </w:t>
      </w:r>
      <w:proofErr w:type="spellStart"/>
      <w:r>
        <w:t>Sabinianów</w:t>
      </w:r>
      <w:proofErr w:type="spellEnd"/>
    </w:p>
    <w:p w:rsidR="00BB3F72" w:rsidRDefault="00BB3F72" w:rsidP="00E53847">
      <w:pPr>
        <w:pStyle w:val="Akapitzlist"/>
        <w:numPr>
          <w:ilvl w:val="0"/>
          <w:numId w:val="1"/>
        </w:numPr>
      </w:pPr>
      <w:proofErr w:type="spellStart"/>
      <w:r>
        <w:t>Consilium</w:t>
      </w:r>
      <w:proofErr w:type="spellEnd"/>
      <w:r>
        <w:t xml:space="preserve"> </w:t>
      </w:r>
      <w:proofErr w:type="spellStart"/>
      <w:r>
        <w:t>principis</w:t>
      </w:r>
      <w:proofErr w:type="spellEnd"/>
      <w:r>
        <w:t xml:space="preserve"> Hadriana – biurokratyzacja urzędu prawnika</w:t>
      </w:r>
    </w:p>
    <w:p w:rsidR="00BB3F72" w:rsidRDefault="00BB3F72" w:rsidP="00E53847">
      <w:pPr>
        <w:pStyle w:val="Akapitzlist"/>
        <w:numPr>
          <w:ilvl w:val="0"/>
          <w:numId w:val="1"/>
        </w:numPr>
      </w:pPr>
      <w:r>
        <w:t>Metody rzymskiej jurysprudencji /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definitio</w:t>
      </w:r>
      <w:proofErr w:type="spellEnd"/>
      <w:r>
        <w:t xml:space="preserve"> in iure </w:t>
      </w:r>
      <w:proofErr w:type="spellStart"/>
      <w:r>
        <w:t>civili</w:t>
      </w:r>
      <w:proofErr w:type="spellEnd"/>
      <w:r>
        <w:t xml:space="preserve">; non ex </w:t>
      </w:r>
      <w:proofErr w:type="spellStart"/>
      <w:r>
        <w:t>regula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</w:t>
      </w:r>
      <w:proofErr w:type="spellStart"/>
      <w:r>
        <w:t>summatur</w:t>
      </w:r>
      <w:proofErr w:type="spellEnd"/>
      <w:r>
        <w:t xml:space="preserve">; typowe schematy argumentacji: analogia, wnioskowanie a contrario, </w:t>
      </w:r>
      <w:proofErr w:type="spellStart"/>
      <w:r>
        <w:t>reductio</w:t>
      </w:r>
      <w:proofErr w:type="spellEnd"/>
      <w:r>
        <w:t xml:space="preserve"> ad absurdum; teza o niemożliwości wyczerpującej regulacji prawnej/</w:t>
      </w:r>
    </w:p>
    <w:p w:rsidR="00BB3F72" w:rsidRDefault="00BB3F72" w:rsidP="00E53847">
      <w:pPr>
        <w:pStyle w:val="Akapitzlist"/>
        <w:numPr>
          <w:ilvl w:val="0"/>
          <w:numId w:val="1"/>
        </w:numPr>
      </w:pPr>
      <w:r>
        <w:t>Gatunki i dzieła rzymskiej literatury prawniczej</w:t>
      </w:r>
    </w:p>
    <w:p w:rsidR="00BB3F72" w:rsidRDefault="00BB3F72" w:rsidP="00E53847">
      <w:pPr>
        <w:pStyle w:val="Akapitzlist"/>
        <w:numPr>
          <w:ilvl w:val="0"/>
          <w:numId w:val="1"/>
        </w:numPr>
      </w:pPr>
      <w:r>
        <w:t xml:space="preserve">Instytucje </w:t>
      </w:r>
      <w:proofErr w:type="spellStart"/>
      <w:r>
        <w:t>Gaiusa</w:t>
      </w:r>
      <w:proofErr w:type="spellEnd"/>
    </w:p>
    <w:p w:rsidR="00BB3F72" w:rsidRDefault="00BB3F72" w:rsidP="00E53847">
      <w:pPr>
        <w:pStyle w:val="Akapitzlist"/>
        <w:numPr>
          <w:ilvl w:val="0"/>
          <w:numId w:val="1"/>
        </w:numPr>
      </w:pPr>
      <w:r>
        <w:t xml:space="preserve">Wyjaśnij powiedzenie: </w:t>
      </w:r>
      <w:proofErr w:type="spellStart"/>
      <w:r>
        <w:t>princeps</w:t>
      </w:r>
      <w:proofErr w:type="spellEnd"/>
      <w:r>
        <w:t xml:space="preserve"> </w:t>
      </w:r>
      <w:proofErr w:type="spellStart"/>
      <w:r>
        <w:t>legibus</w:t>
      </w:r>
      <w:proofErr w:type="spellEnd"/>
      <w:r>
        <w:t xml:space="preserve"> </w:t>
      </w:r>
      <w:proofErr w:type="spellStart"/>
      <w:r>
        <w:t>solutus</w:t>
      </w:r>
      <w:proofErr w:type="spellEnd"/>
    </w:p>
    <w:p w:rsidR="00BB3F72" w:rsidRDefault="00BB3F72" w:rsidP="00E53847">
      <w:pPr>
        <w:pStyle w:val="Akapitzlist"/>
        <w:numPr>
          <w:ilvl w:val="0"/>
          <w:numId w:val="1"/>
        </w:numPr>
      </w:pPr>
      <w:r>
        <w:t xml:space="preserve">Wyjaśnij znaczenie reguły </w:t>
      </w:r>
      <w:proofErr w:type="spellStart"/>
      <w:r>
        <w:t>male</w:t>
      </w:r>
      <w:proofErr w:type="spellEnd"/>
      <w:r>
        <w:t xml:space="preserve"> </w:t>
      </w:r>
      <w:proofErr w:type="spellStart"/>
      <w:r>
        <w:t>nostro</w:t>
      </w:r>
      <w:proofErr w:type="spellEnd"/>
      <w:r>
        <w:t xml:space="preserve"> iure </w:t>
      </w:r>
      <w:proofErr w:type="spellStart"/>
      <w:r>
        <w:t>uti</w:t>
      </w:r>
      <w:proofErr w:type="spellEnd"/>
      <w:r>
        <w:t xml:space="preserve"> non </w:t>
      </w:r>
      <w:proofErr w:type="spellStart"/>
      <w:r>
        <w:t>debemus</w:t>
      </w:r>
      <w:proofErr w:type="spellEnd"/>
    </w:p>
    <w:p w:rsidR="00BB3F72" w:rsidRDefault="00BB3F72" w:rsidP="00E53847">
      <w:pPr>
        <w:pStyle w:val="Akapitzlist"/>
        <w:numPr>
          <w:ilvl w:val="0"/>
          <w:numId w:val="1"/>
        </w:numPr>
      </w:pPr>
      <w:proofErr w:type="spellStart"/>
      <w:r>
        <w:t>Zachodniorzymski</w:t>
      </w:r>
      <w:proofErr w:type="spellEnd"/>
      <w:r>
        <w:t xml:space="preserve"> wulgaryzm prawa</w:t>
      </w:r>
    </w:p>
    <w:p w:rsidR="00BB3F72" w:rsidRDefault="00BB3F72" w:rsidP="00E53847">
      <w:pPr>
        <w:pStyle w:val="Akapitzlist"/>
        <w:numPr>
          <w:ilvl w:val="0"/>
          <w:numId w:val="1"/>
        </w:numPr>
      </w:pPr>
      <w:proofErr w:type="spellStart"/>
      <w:r>
        <w:t>Wschodniorzymski</w:t>
      </w:r>
      <w:proofErr w:type="spellEnd"/>
      <w:r>
        <w:t xml:space="preserve"> klasycyzm</w:t>
      </w:r>
    </w:p>
    <w:p w:rsidR="00BB3F72" w:rsidRDefault="00BB3F72" w:rsidP="00E53847">
      <w:pPr>
        <w:pStyle w:val="Akapitzlist"/>
        <w:numPr>
          <w:ilvl w:val="0"/>
          <w:numId w:val="1"/>
        </w:numPr>
      </w:pPr>
      <w:r>
        <w:t xml:space="preserve">Od </w:t>
      </w:r>
      <w:proofErr w:type="spellStart"/>
      <w:r>
        <w:t>biblion</w:t>
      </w:r>
      <w:proofErr w:type="spellEnd"/>
      <w:r>
        <w:t xml:space="preserve"> do </w:t>
      </w:r>
      <w:proofErr w:type="spellStart"/>
      <w:r>
        <w:t>codex</w:t>
      </w:r>
      <w:proofErr w:type="spellEnd"/>
    </w:p>
    <w:p w:rsidR="00BB3F72" w:rsidRDefault="00BB3F72" w:rsidP="00E53847">
      <w:pPr>
        <w:pStyle w:val="Akapitzlist"/>
        <w:numPr>
          <w:ilvl w:val="0"/>
          <w:numId w:val="1"/>
        </w:numPr>
      </w:pPr>
      <w:r>
        <w:t>Spisanie praw a kodyfikacja</w:t>
      </w:r>
    </w:p>
    <w:p w:rsidR="00BB3F72" w:rsidRDefault="003C2CDC" w:rsidP="00E53847">
      <w:pPr>
        <w:pStyle w:val="Akapitzlist"/>
        <w:numPr>
          <w:ilvl w:val="0"/>
          <w:numId w:val="1"/>
        </w:numPr>
      </w:pPr>
      <w:proofErr w:type="spellStart"/>
      <w:r>
        <w:t>Codex</w:t>
      </w:r>
      <w:proofErr w:type="spellEnd"/>
      <w:r>
        <w:t xml:space="preserve"> </w:t>
      </w:r>
      <w:proofErr w:type="spellStart"/>
      <w:r>
        <w:t>Theodosianus</w:t>
      </w:r>
      <w:proofErr w:type="spellEnd"/>
    </w:p>
    <w:p w:rsidR="003C2CDC" w:rsidRDefault="003C2CDC" w:rsidP="00E53847">
      <w:pPr>
        <w:pStyle w:val="Akapitzlist"/>
        <w:numPr>
          <w:ilvl w:val="0"/>
          <w:numId w:val="1"/>
        </w:numPr>
      </w:pPr>
      <w:r>
        <w:t>Justyniańska kompilacja prawa /nie mniej niż 15 zdań/</w:t>
      </w:r>
    </w:p>
    <w:p w:rsidR="003C2CDC" w:rsidRDefault="003C2CDC" w:rsidP="00E53847">
      <w:pPr>
        <w:pStyle w:val="Akapitzlist"/>
        <w:numPr>
          <w:ilvl w:val="0"/>
          <w:numId w:val="1"/>
        </w:numPr>
      </w:pPr>
      <w:r>
        <w:t xml:space="preserve">Corpus Iuris </w:t>
      </w:r>
      <w:proofErr w:type="spellStart"/>
      <w:r>
        <w:t>Civilis</w:t>
      </w:r>
      <w:proofErr w:type="spellEnd"/>
    </w:p>
    <w:sectPr w:rsidR="003C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D2208"/>
    <w:multiLevelType w:val="hybridMultilevel"/>
    <w:tmpl w:val="222C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47"/>
    <w:rsid w:val="00301924"/>
    <w:rsid w:val="003C2CDC"/>
    <w:rsid w:val="0042532B"/>
    <w:rsid w:val="006C08B2"/>
    <w:rsid w:val="007C2E8A"/>
    <w:rsid w:val="00827324"/>
    <w:rsid w:val="00950B52"/>
    <w:rsid w:val="00BB3F72"/>
    <w:rsid w:val="00E5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71EC"/>
  <w15:chartTrackingRefBased/>
  <w15:docId w15:val="{AF9D4FC7-E52E-4DBF-82F9-18746303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Szolc-Nartowski</dc:creator>
  <cp:keywords/>
  <dc:description/>
  <cp:lastModifiedBy>Bartosz Szolc-Nartowski</cp:lastModifiedBy>
  <cp:revision>4</cp:revision>
  <dcterms:created xsi:type="dcterms:W3CDTF">2019-10-13T21:43:00Z</dcterms:created>
  <dcterms:modified xsi:type="dcterms:W3CDTF">2019-10-13T22:00:00Z</dcterms:modified>
</cp:coreProperties>
</file>