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62" w:rsidRDefault="007F0662" w:rsidP="00923176">
      <w:pPr>
        <w:jc w:val="both"/>
        <w:rPr>
          <w:rFonts w:ascii="Times New Roman" w:hAnsi="Times New Roman"/>
        </w:rPr>
      </w:pPr>
      <w:r>
        <w:rPr>
          <w:rFonts w:ascii="Times New Roman" w:hAnsi="Times New Roman"/>
        </w:rPr>
        <w:t>Prawo rzymskie, teksty źródłowe (prawo rzeczowe) – WPiA UG, rok akademicki 2019/2020</w:t>
      </w:r>
    </w:p>
    <w:p w:rsidR="007F0662" w:rsidRDefault="007F0662" w:rsidP="00923176">
      <w:pPr>
        <w:jc w:val="both"/>
        <w:rPr>
          <w:rFonts w:ascii="Times New Roman" w:hAnsi="Times New Roman"/>
        </w:rPr>
      </w:pPr>
    </w:p>
    <w:p w:rsidR="007F0662" w:rsidRPr="00695D79" w:rsidRDefault="007F0662" w:rsidP="00923176">
      <w:pPr>
        <w:jc w:val="both"/>
        <w:rPr>
          <w:rFonts w:ascii="Times New Roman" w:hAnsi="Times New Roman"/>
        </w:rPr>
      </w:pPr>
      <w:r w:rsidRPr="00695D79">
        <w:rPr>
          <w:rFonts w:ascii="Times New Roman" w:hAnsi="Times New Roman"/>
        </w:rPr>
        <w:t>Schemat analizy:</w:t>
      </w:r>
    </w:p>
    <w:p w:rsidR="007F0662" w:rsidRPr="00695D79" w:rsidRDefault="007F0662" w:rsidP="00923176">
      <w:pPr>
        <w:jc w:val="both"/>
        <w:rPr>
          <w:rFonts w:ascii="Times New Roman" w:hAnsi="Times New Roman"/>
        </w:rPr>
      </w:pPr>
      <w:r w:rsidRPr="00695D79">
        <w:rPr>
          <w:rFonts w:ascii="Times New Roman" w:hAnsi="Times New Roman"/>
        </w:rPr>
        <w:t>1)</w:t>
      </w:r>
      <w:r w:rsidRPr="00695D79">
        <w:rPr>
          <w:rFonts w:ascii="Times New Roman" w:hAnsi="Times New Roman"/>
        </w:rPr>
        <w:tab/>
        <w:t xml:space="preserve">Określenie miejsca tekstu w dyskusji prawników rzymskich (miejsce w tekście źródłowym oraz informacja podana w </w:t>
      </w:r>
      <w:r w:rsidRPr="00695D79">
        <w:rPr>
          <w:rFonts w:ascii="Times New Roman" w:hAnsi="Times New Roman"/>
          <w:i/>
        </w:rPr>
        <w:t>inscriptio</w:t>
      </w:r>
      <w:r w:rsidRPr="00695D79">
        <w:rPr>
          <w:rFonts w:ascii="Times New Roman" w:hAnsi="Times New Roman"/>
        </w:rPr>
        <w:t xml:space="preserve"> plus informacje o jurystach – niekiedy informacje w tekście).</w:t>
      </w:r>
    </w:p>
    <w:p w:rsidR="007F0662" w:rsidRPr="00695D79" w:rsidRDefault="007F0662" w:rsidP="00923176">
      <w:pPr>
        <w:jc w:val="both"/>
        <w:rPr>
          <w:rFonts w:ascii="Times New Roman" w:hAnsi="Times New Roman"/>
        </w:rPr>
      </w:pPr>
      <w:r w:rsidRPr="00695D79">
        <w:rPr>
          <w:rFonts w:ascii="Times New Roman" w:hAnsi="Times New Roman"/>
        </w:rPr>
        <w:t>2)</w:t>
      </w:r>
      <w:r w:rsidRPr="00695D79">
        <w:rPr>
          <w:rFonts w:ascii="Times New Roman" w:hAnsi="Times New Roman"/>
        </w:rPr>
        <w:tab/>
        <w:t>Rekonstrukcja omawianego w tekście stanu faktycznego (rzeczywisty lub hipotetyczny stan faktyczny).</w:t>
      </w:r>
    </w:p>
    <w:p w:rsidR="007F0662" w:rsidRPr="00695D79" w:rsidRDefault="007F0662" w:rsidP="00923176">
      <w:pPr>
        <w:jc w:val="both"/>
        <w:rPr>
          <w:rFonts w:ascii="Times New Roman" w:hAnsi="Times New Roman"/>
        </w:rPr>
      </w:pPr>
      <w:r w:rsidRPr="00695D79">
        <w:rPr>
          <w:rFonts w:ascii="Times New Roman" w:hAnsi="Times New Roman"/>
        </w:rPr>
        <w:t>3)</w:t>
      </w:r>
      <w:r w:rsidRPr="00695D79">
        <w:rPr>
          <w:rFonts w:ascii="Times New Roman" w:hAnsi="Times New Roman"/>
        </w:rPr>
        <w:tab/>
        <w:t>Wskazanie problemu prawnego będącego przedmiotem oceny (kwestia niejasna, dyskusyjna).</w:t>
      </w:r>
    </w:p>
    <w:p w:rsidR="007F0662" w:rsidRDefault="007F0662" w:rsidP="00923176">
      <w:pPr>
        <w:jc w:val="both"/>
        <w:rPr>
          <w:rFonts w:ascii="Times New Roman" w:hAnsi="Times New Roman"/>
        </w:rPr>
      </w:pPr>
      <w:r w:rsidRPr="00695D79">
        <w:rPr>
          <w:rFonts w:ascii="Times New Roman" w:hAnsi="Times New Roman"/>
        </w:rPr>
        <w:t>4)</w:t>
      </w:r>
      <w:r w:rsidRPr="00695D79">
        <w:rPr>
          <w:rFonts w:ascii="Times New Roman" w:hAnsi="Times New Roman"/>
        </w:rPr>
        <w:tab/>
        <w:t>Nazwanie zasad rozstrzygnięcia (</w:t>
      </w:r>
      <w:r w:rsidRPr="00695D79">
        <w:rPr>
          <w:rFonts w:ascii="Times New Roman" w:hAnsi="Times New Roman"/>
          <w:i/>
        </w:rPr>
        <w:t>rationes decidendi</w:t>
      </w:r>
      <w:r w:rsidRPr="00695D79">
        <w:rPr>
          <w:rFonts w:ascii="Times New Roman" w:hAnsi="Times New Roman"/>
        </w:rPr>
        <w:t>) przyjętych przez jurystów oraz ich ocena plus znaczenie oraz wykorzystanie w tradycji romanistycznej.</w:t>
      </w:r>
    </w:p>
    <w:p w:rsidR="007F0662" w:rsidRDefault="007F0662" w:rsidP="00923176">
      <w:pPr>
        <w:jc w:val="both"/>
        <w:rPr>
          <w:rFonts w:ascii="Times New Roman" w:hAnsi="Times New Roman"/>
        </w:rPr>
      </w:pPr>
    </w:p>
    <w:p w:rsidR="007F0662" w:rsidRPr="009F4119" w:rsidRDefault="007F0662" w:rsidP="00923176">
      <w:pPr>
        <w:jc w:val="both"/>
        <w:rPr>
          <w:rFonts w:ascii="Times New Roman" w:hAnsi="Times New Roman"/>
          <w:i/>
          <w:lang w:val="it-IT"/>
        </w:rPr>
      </w:pPr>
      <w:r w:rsidRPr="009F4119">
        <w:rPr>
          <w:rFonts w:ascii="Times New Roman" w:hAnsi="Times New Roman"/>
          <w:lang w:val="it-IT"/>
        </w:rPr>
        <w:t xml:space="preserve">D. 18.1.74. </w:t>
      </w:r>
      <w:r w:rsidRPr="009F4119">
        <w:rPr>
          <w:rFonts w:ascii="Times New Roman" w:hAnsi="Times New Roman"/>
          <w:i/>
          <w:lang w:val="it-IT"/>
        </w:rPr>
        <w:t>Papinianus libro primo definitionum. Clavibus traditis ita mercium in horreis conditarum possessio tradita videtur, si claves apud horrea traditae sint: quo facto confestim emptor dominium et possessionem adipiscitur, etsi non aperuerit horrea: quod si venditoris merces non fuerunt, usucapio confestim inchoabitur.</w:t>
      </w:r>
    </w:p>
    <w:p w:rsidR="007F0662" w:rsidRPr="00DD37FC" w:rsidRDefault="007F0662" w:rsidP="00923176">
      <w:pPr>
        <w:jc w:val="both"/>
        <w:rPr>
          <w:rFonts w:ascii="Times New Roman" w:hAnsi="Times New Roman"/>
        </w:rPr>
      </w:pPr>
      <w:r>
        <w:rPr>
          <w:rFonts w:ascii="Times New Roman" w:hAnsi="Times New Roman"/>
        </w:rPr>
        <w:t>Papinian w księdze pierwszej definicji. Uważa się, że p</w:t>
      </w:r>
      <w:r w:rsidRPr="00DD37FC">
        <w:rPr>
          <w:rFonts w:ascii="Times New Roman" w:hAnsi="Times New Roman"/>
        </w:rPr>
        <w:t>osiadanie tow</w:t>
      </w:r>
      <w:r>
        <w:rPr>
          <w:rFonts w:ascii="Times New Roman" w:hAnsi="Times New Roman"/>
        </w:rPr>
        <w:t>arów przechowywanych w magazynie</w:t>
      </w:r>
      <w:r w:rsidRPr="00DD37FC">
        <w:rPr>
          <w:rFonts w:ascii="Times New Roman" w:hAnsi="Times New Roman"/>
        </w:rPr>
        <w:t xml:space="preserve"> przenosi się przez wydanie kluczy tylko wtedy, gdy wydano </w:t>
      </w:r>
      <w:r>
        <w:rPr>
          <w:rFonts w:ascii="Times New Roman" w:hAnsi="Times New Roman"/>
        </w:rPr>
        <w:t>klucze</w:t>
      </w:r>
      <w:r w:rsidRPr="00DD37FC">
        <w:rPr>
          <w:rFonts w:ascii="Times New Roman" w:hAnsi="Times New Roman"/>
        </w:rPr>
        <w:t xml:space="preserve"> w pobliżu </w:t>
      </w:r>
      <w:r>
        <w:rPr>
          <w:rFonts w:ascii="Times New Roman" w:hAnsi="Times New Roman"/>
        </w:rPr>
        <w:t>magazynu</w:t>
      </w:r>
      <w:r w:rsidRPr="00DD37FC">
        <w:rPr>
          <w:rFonts w:ascii="Times New Roman" w:hAnsi="Times New Roman"/>
        </w:rPr>
        <w:t xml:space="preserve">. Po tym fakcie kupujący nabywa natychmiast własność i posiadanie, nawet jeśli </w:t>
      </w:r>
      <w:r>
        <w:rPr>
          <w:rFonts w:ascii="Times New Roman" w:hAnsi="Times New Roman"/>
        </w:rPr>
        <w:t xml:space="preserve">magazynu </w:t>
      </w:r>
      <w:r w:rsidRPr="00DD37FC">
        <w:rPr>
          <w:rFonts w:ascii="Times New Roman" w:hAnsi="Times New Roman"/>
        </w:rPr>
        <w:t>nie otworzył. Jeśli natomiast towary nie były własnością s</w:t>
      </w:r>
      <w:r>
        <w:rPr>
          <w:rFonts w:ascii="Times New Roman" w:hAnsi="Times New Roman"/>
        </w:rPr>
        <w:t>przedawcy, natychmiast zaczyna</w:t>
      </w:r>
      <w:r w:rsidRPr="00DD37FC">
        <w:rPr>
          <w:rFonts w:ascii="Times New Roman" w:hAnsi="Times New Roman"/>
        </w:rPr>
        <w:t xml:space="preserve"> się zasiedzenie.</w:t>
      </w:r>
    </w:p>
    <w:p w:rsidR="007F0662" w:rsidRDefault="007F0662" w:rsidP="00923176">
      <w:pPr>
        <w:jc w:val="both"/>
        <w:rPr>
          <w:rFonts w:ascii="Times New Roman" w:hAnsi="Times New Roman"/>
        </w:rPr>
      </w:pPr>
    </w:p>
    <w:p w:rsidR="007F0662" w:rsidRPr="009F4119" w:rsidRDefault="007F0662" w:rsidP="00923176">
      <w:pPr>
        <w:jc w:val="both"/>
        <w:rPr>
          <w:rFonts w:ascii="Times New Roman" w:hAnsi="Times New Roman"/>
          <w:lang w:val="it-IT"/>
        </w:rPr>
      </w:pPr>
      <w:r w:rsidRPr="009F4119">
        <w:rPr>
          <w:rFonts w:ascii="Times New Roman" w:hAnsi="Times New Roman"/>
          <w:lang w:val="it-IT"/>
        </w:rPr>
        <w:t xml:space="preserve">D. 12.1.9.9. </w:t>
      </w:r>
      <w:r w:rsidRPr="009F4119">
        <w:rPr>
          <w:rFonts w:ascii="Times New Roman" w:hAnsi="Times New Roman"/>
          <w:i/>
          <w:lang w:val="it-IT"/>
        </w:rPr>
        <w:t>Ulpianus libro vincesimo sexto ad edictum. Deposui apud te decem, postea permisi tibi uti: Nerva Proculus etiam antequam moveantur, condicere quasi mutua tibi haec posse aiunt, et est verum, ut et Marcello videtur: animo enim coepit possidere. Ergo transit periculum ad eum, qui mutuam rogavit et poterit ei condici.</w:t>
      </w:r>
    </w:p>
    <w:p w:rsidR="007F0662" w:rsidRPr="00A56E37" w:rsidRDefault="007F0662" w:rsidP="00923176">
      <w:pPr>
        <w:jc w:val="both"/>
        <w:rPr>
          <w:rFonts w:ascii="Times New Roman" w:hAnsi="Times New Roman"/>
        </w:rPr>
      </w:pPr>
      <w:r>
        <w:rPr>
          <w:rFonts w:ascii="Times New Roman" w:hAnsi="Times New Roman"/>
        </w:rPr>
        <w:t xml:space="preserve">Ulpian w księdze dwudziestej szóstej komentarza do edyktu. </w:t>
      </w:r>
      <w:r w:rsidRPr="00A56E37">
        <w:rPr>
          <w:rFonts w:ascii="Times New Roman" w:hAnsi="Times New Roman"/>
        </w:rPr>
        <w:t xml:space="preserve">Zdeponowałem u ciebie </w:t>
      </w:r>
      <w:r>
        <w:rPr>
          <w:rFonts w:ascii="Times New Roman" w:hAnsi="Times New Roman"/>
        </w:rPr>
        <w:t>dziesięć</w:t>
      </w:r>
      <w:r w:rsidRPr="00A56E37">
        <w:rPr>
          <w:rFonts w:ascii="Times New Roman" w:hAnsi="Times New Roman"/>
        </w:rPr>
        <w:t xml:space="preserve">, a potem pozwoliłem ci ich użyć. Nerwa i Prokulus sądzą, że już zanim </w:t>
      </w:r>
      <w:r>
        <w:rPr>
          <w:rFonts w:ascii="Times New Roman" w:hAnsi="Times New Roman"/>
        </w:rPr>
        <w:t xml:space="preserve">ruszono </w:t>
      </w:r>
      <w:r w:rsidRPr="00A56E37">
        <w:rPr>
          <w:rFonts w:ascii="Times New Roman" w:hAnsi="Times New Roman"/>
        </w:rPr>
        <w:t xml:space="preserve">je z miejsca, mogę domagać się ich zwrotu </w:t>
      </w:r>
      <w:r>
        <w:rPr>
          <w:rFonts w:ascii="Times New Roman" w:hAnsi="Times New Roman"/>
        </w:rPr>
        <w:t xml:space="preserve">od Ciebie, </w:t>
      </w:r>
      <w:r w:rsidRPr="00A56E37">
        <w:rPr>
          <w:rFonts w:ascii="Times New Roman" w:hAnsi="Times New Roman"/>
        </w:rPr>
        <w:t>jako pożyczki, i jest to słuszne (</w:t>
      </w:r>
      <w:r w:rsidRPr="00A56E37">
        <w:rPr>
          <w:rFonts w:ascii="Times New Roman" w:hAnsi="Times New Roman"/>
          <w:i/>
        </w:rPr>
        <w:t>verum</w:t>
      </w:r>
      <w:r w:rsidRPr="00A56E37">
        <w:rPr>
          <w:rFonts w:ascii="Times New Roman" w:hAnsi="Times New Roman"/>
        </w:rPr>
        <w:t xml:space="preserve">), jak sądzi również Marcellus. Albowiem zacząłeś je posiadać </w:t>
      </w:r>
      <w:r w:rsidRPr="00A56E37">
        <w:rPr>
          <w:rFonts w:ascii="Times New Roman" w:hAnsi="Times New Roman"/>
          <w:i/>
        </w:rPr>
        <w:t>animo</w:t>
      </w:r>
      <w:r w:rsidRPr="00A56E37">
        <w:rPr>
          <w:rFonts w:ascii="Times New Roman" w:hAnsi="Times New Roman"/>
        </w:rPr>
        <w:t>, zatem ryzyko (</w:t>
      </w:r>
      <w:r w:rsidRPr="00A56E37">
        <w:rPr>
          <w:rFonts w:ascii="Times New Roman" w:hAnsi="Times New Roman"/>
          <w:i/>
        </w:rPr>
        <w:t>periculum</w:t>
      </w:r>
      <w:r w:rsidRPr="00A56E37">
        <w:rPr>
          <w:rFonts w:ascii="Times New Roman" w:hAnsi="Times New Roman"/>
        </w:rPr>
        <w:t xml:space="preserve">) przechodzi na tego, kto prosił o pożyczkę, i można </w:t>
      </w:r>
      <w:r>
        <w:rPr>
          <w:rFonts w:ascii="Times New Roman" w:hAnsi="Times New Roman"/>
        </w:rPr>
        <w:t>wytoczyć przeciwko niemu skargę o zwrot</w:t>
      </w:r>
      <w:r w:rsidRPr="00A56E37">
        <w:rPr>
          <w:rFonts w:ascii="Times New Roman" w:hAnsi="Times New Roman"/>
        </w:rPr>
        <w:t xml:space="preserve">. </w:t>
      </w:r>
    </w:p>
    <w:p w:rsidR="007F0662" w:rsidRDefault="007F0662" w:rsidP="00923176">
      <w:pPr>
        <w:jc w:val="both"/>
        <w:rPr>
          <w:rFonts w:ascii="Times New Roman" w:hAnsi="Times New Roman"/>
        </w:rPr>
      </w:pPr>
    </w:p>
    <w:p w:rsidR="007F0662" w:rsidRPr="009F4119" w:rsidRDefault="007F0662" w:rsidP="00923176">
      <w:pPr>
        <w:jc w:val="both"/>
        <w:rPr>
          <w:rFonts w:ascii="Times New Roman" w:hAnsi="Times New Roman"/>
          <w:i/>
          <w:lang w:val="it-IT"/>
        </w:rPr>
      </w:pPr>
      <w:r w:rsidRPr="009F4119">
        <w:rPr>
          <w:rFonts w:ascii="Times New Roman" w:hAnsi="Times New Roman"/>
          <w:lang w:val="it-IT"/>
        </w:rPr>
        <w:t xml:space="preserve">D. 12.1.18. </w:t>
      </w:r>
      <w:r w:rsidRPr="009F4119">
        <w:rPr>
          <w:rFonts w:ascii="Times New Roman" w:hAnsi="Times New Roman"/>
          <w:i/>
          <w:lang w:val="it-IT"/>
        </w:rPr>
        <w:t>Ulpianus libro septimo disputationum. pr. Si ego pecuniam tibi quasi donaturus dedero, tu quasi mutuam accipias, Iulianus scribit donationem non esse: sed an mutua sit, videndum. Et puto nec mutuam esse magisque nummos accipientis non fieri, cum alia opinione acceperit. Quare si eos consumpserit, licet condictione teneatur, tamen doli exceptione uti poterit, quia secundum voluntatem dantis nummi sunt consumpti.</w:t>
      </w:r>
    </w:p>
    <w:p w:rsidR="007F0662" w:rsidRDefault="007F0662" w:rsidP="00923176">
      <w:pPr>
        <w:jc w:val="both"/>
        <w:rPr>
          <w:rFonts w:ascii="Times New Roman" w:hAnsi="Times New Roman"/>
        </w:rPr>
      </w:pPr>
      <w:r w:rsidRPr="009F4119">
        <w:rPr>
          <w:rFonts w:ascii="Times New Roman" w:hAnsi="Times New Roman"/>
          <w:lang w:val="it-IT"/>
        </w:rPr>
        <w:t xml:space="preserve">Ulpian w księdze siódmej dysputacji. </w:t>
      </w:r>
      <w:r w:rsidRPr="00A56E37">
        <w:rPr>
          <w:rFonts w:ascii="Times New Roman" w:hAnsi="Times New Roman"/>
        </w:rPr>
        <w:t xml:space="preserve">Julian pisze, </w:t>
      </w:r>
      <w:r>
        <w:rPr>
          <w:rFonts w:ascii="Times New Roman" w:hAnsi="Times New Roman"/>
        </w:rPr>
        <w:t xml:space="preserve">że jeśli </w:t>
      </w:r>
      <w:r w:rsidRPr="00A56E37">
        <w:rPr>
          <w:rFonts w:ascii="Times New Roman" w:hAnsi="Times New Roman"/>
        </w:rPr>
        <w:t>da</w:t>
      </w:r>
      <w:r>
        <w:rPr>
          <w:rFonts w:ascii="Times New Roman" w:hAnsi="Times New Roman"/>
        </w:rPr>
        <w:t xml:space="preserve">ję </w:t>
      </w:r>
      <w:r w:rsidRPr="00A56E37">
        <w:rPr>
          <w:rFonts w:ascii="Times New Roman" w:hAnsi="Times New Roman"/>
        </w:rPr>
        <w:t>ci pieniądze</w:t>
      </w:r>
      <w:r>
        <w:rPr>
          <w:rFonts w:ascii="Times New Roman" w:hAnsi="Times New Roman"/>
        </w:rPr>
        <w:t xml:space="preserve"> jako darowiznę</w:t>
      </w:r>
      <w:r w:rsidRPr="00A56E37">
        <w:rPr>
          <w:rFonts w:ascii="Times New Roman" w:hAnsi="Times New Roman"/>
        </w:rPr>
        <w:t>, ty wszakże przyjmujesz je jak pożyczkę, nie jest to darowizna. Zastanówmy się jednak, czy rzeczywiście jest to pożyczka. Uważam (</w:t>
      </w:r>
      <w:r w:rsidRPr="00A56E37">
        <w:rPr>
          <w:rFonts w:ascii="Times New Roman" w:hAnsi="Times New Roman"/>
          <w:i/>
        </w:rPr>
        <w:t>puto</w:t>
      </w:r>
      <w:r w:rsidRPr="00A56E37">
        <w:rPr>
          <w:rFonts w:ascii="Times New Roman" w:hAnsi="Times New Roman"/>
        </w:rPr>
        <w:t>), że nie</w:t>
      </w:r>
      <w:r>
        <w:rPr>
          <w:rFonts w:ascii="Times New Roman" w:hAnsi="Times New Roman"/>
        </w:rPr>
        <w:t>, c</w:t>
      </w:r>
      <w:r w:rsidRPr="00A56E37">
        <w:rPr>
          <w:rFonts w:ascii="Times New Roman" w:hAnsi="Times New Roman"/>
        </w:rPr>
        <w:t xml:space="preserve">o więcej, monety te nie stają się własnością odbiorcy, mimo że, biorąc je, był on innego zdania. Jeśli je więc zużyje, odpowiada </w:t>
      </w:r>
      <w:r>
        <w:rPr>
          <w:rFonts w:ascii="Times New Roman" w:hAnsi="Times New Roman"/>
        </w:rPr>
        <w:t>na podstawie</w:t>
      </w:r>
      <w:r w:rsidRPr="00A56E37">
        <w:rPr>
          <w:rFonts w:ascii="Times New Roman" w:hAnsi="Times New Roman"/>
        </w:rPr>
        <w:t xml:space="preserve"> </w:t>
      </w:r>
      <w:r w:rsidRPr="00A56E37">
        <w:rPr>
          <w:rFonts w:ascii="Times New Roman" w:hAnsi="Times New Roman"/>
          <w:i/>
        </w:rPr>
        <w:t>condictio</w:t>
      </w:r>
      <w:r w:rsidRPr="00A56E37">
        <w:rPr>
          <w:rFonts w:ascii="Times New Roman" w:hAnsi="Times New Roman"/>
        </w:rPr>
        <w:t xml:space="preserve">. Będzie mógł jednak skorzystać z </w:t>
      </w:r>
      <w:r w:rsidRPr="00A56E37">
        <w:rPr>
          <w:rFonts w:ascii="Times New Roman" w:hAnsi="Times New Roman"/>
          <w:i/>
        </w:rPr>
        <w:t>exceptio doli</w:t>
      </w:r>
      <w:r w:rsidRPr="00A56E37">
        <w:rPr>
          <w:rFonts w:ascii="Times New Roman" w:hAnsi="Times New Roman"/>
        </w:rPr>
        <w:t>, ponieważ z</w:t>
      </w:r>
      <w:r>
        <w:rPr>
          <w:rFonts w:ascii="Times New Roman" w:hAnsi="Times New Roman"/>
        </w:rPr>
        <w:t>godnie z wolą</w:t>
      </w:r>
      <w:r w:rsidRPr="00A56E37">
        <w:rPr>
          <w:rFonts w:ascii="Times New Roman" w:hAnsi="Times New Roman"/>
        </w:rPr>
        <w:t xml:space="preserve"> da</w:t>
      </w:r>
      <w:r>
        <w:rPr>
          <w:rFonts w:ascii="Times New Roman" w:hAnsi="Times New Roman"/>
        </w:rPr>
        <w:t>jącego</w:t>
      </w:r>
      <w:r w:rsidRPr="00A56E37">
        <w:rPr>
          <w:rFonts w:ascii="Times New Roman" w:hAnsi="Times New Roman"/>
        </w:rPr>
        <w:t xml:space="preserve"> pieniądze te zostały spożytkowane.</w:t>
      </w:r>
    </w:p>
    <w:p w:rsidR="007F0662" w:rsidRDefault="007F0662" w:rsidP="00923176">
      <w:pPr>
        <w:jc w:val="both"/>
        <w:rPr>
          <w:rFonts w:ascii="Times New Roman" w:hAnsi="Times New Roman"/>
        </w:rPr>
      </w:pPr>
    </w:p>
    <w:p w:rsidR="007F0662" w:rsidRPr="009F4119" w:rsidRDefault="007F0662" w:rsidP="00923176">
      <w:pPr>
        <w:jc w:val="both"/>
        <w:rPr>
          <w:rFonts w:ascii="Times New Roman" w:hAnsi="Times New Roman"/>
          <w:lang w:val="it-IT"/>
        </w:rPr>
      </w:pPr>
      <w:r w:rsidRPr="009F4119">
        <w:rPr>
          <w:rFonts w:ascii="Times New Roman" w:hAnsi="Times New Roman"/>
          <w:lang w:val="it-IT"/>
        </w:rPr>
        <w:t xml:space="preserve">D. 41.1.66. </w:t>
      </w:r>
      <w:r w:rsidRPr="009F4119">
        <w:rPr>
          <w:rFonts w:ascii="Times New Roman" w:hAnsi="Times New Roman"/>
          <w:i/>
          <w:lang w:val="it-IT"/>
        </w:rPr>
        <w:t>Venonius libro sexto interdictorum. Cum praegnas mulier legata aut usucapta aliove quo modo alienata pariat, eius fient partus, cuius est ea, cum eniteretur, non cuius tunc fuisset, cum conciperet.</w:t>
      </w:r>
    </w:p>
    <w:p w:rsidR="007F0662" w:rsidRDefault="007F0662" w:rsidP="00923176">
      <w:pPr>
        <w:jc w:val="both"/>
        <w:rPr>
          <w:rFonts w:ascii="Times New Roman" w:hAnsi="Times New Roman"/>
        </w:rPr>
      </w:pPr>
      <w:r>
        <w:rPr>
          <w:rFonts w:ascii="Times New Roman" w:hAnsi="Times New Roman"/>
        </w:rPr>
        <w:t>Wenulejusz w księdze szóstej interdyktów. Gdy rodzi ciężarna kobieta</w:t>
      </w:r>
      <w:r w:rsidRPr="00A56E37">
        <w:rPr>
          <w:rFonts w:ascii="Times New Roman" w:hAnsi="Times New Roman"/>
        </w:rPr>
        <w:t>, która została zapisana lub zasiedziana (</w:t>
      </w:r>
      <w:r w:rsidRPr="00A56E37">
        <w:rPr>
          <w:rFonts w:ascii="Times New Roman" w:hAnsi="Times New Roman"/>
          <w:i/>
        </w:rPr>
        <w:t>legata aut usucapta</w:t>
      </w:r>
      <w:r w:rsidRPr="00A56E37">
        <w:rPr>
          <w:rFonts w:ascii="Times New Roman" w:hAnsi="Times New Roman"/>
        </w:rPr>
        <w:t>) albo w inny sposób zbyta (</w:t>
      </w:r>
      <w:r w:rsidRPr="0070727E">
        <w:rPr>
          <w:rFonts w:ascii="Times New Roman" w:hAnsi="Times New Roman"/>
          <w:i/>
        </w:rPr>
        <w:t>aliove quo modo alienata</w:t>
      </w:r>
      <w:r w:rsidRPr="00A56E37">
        <w:rPr>
          <w:rFonts w:ascii="Times New Roman" w:hAnsi="Times New Roman"/>
        </w:rPr>
        <w:t xml:space="preserve">), </w:t>
      </w:r>
      <w:r>
        <w:rPr>
          <w:rFonts w:ascii="Times New Roman" w:hAnsi="Times New Roman"/>
        </w:rPr>
        <w:t xml:space="preserve">tego jest </w:t>
      </w:r>
      <w:r w:rsidRPr="00A56E37">
        <w:rPr>
          <w:rFonts w:ascii="Times New Roman" w:hAnsi="Times New Roman"/>
        </w:rPr>
        <w:t>urodzon</w:t>
      </w:r>
      <w:r>
        <w:rPr>
          <w:rFonts w:ascii="Times New Roman" w:hAnsi="Times New Roman"/>
        </w:rPr>
        <w:t>y</w:t>
      </w:r>
      <w:r w:rsidRPr="00A56E37">
        <w:rPr>
          <w:rFonts w:ascii="Times New Roman" w:hAnsi="Times New Roman"/>
        </w:rPr>
        <w:t xml:space="preserve">, do kogo należała ona sama w chwili porodu, a nie w chwili poczęcia. </w:t>
      </w:r>
      <w:r>
        <w:rPr>
          <w:rFonts w:ascii="Times New Roman" w:hAnsi="Times New Roman"/>
        </w:rPr>
        <w:t xml:space="preserve"> </w:t>
      </w:r>
    </w:p>
    <w:p w:rsidR="007F0662" w:rsidRDefault="007F0662" w:rsidP="00923176">
      <w:pPr>
        <w:jc w:val="both"/>
        <w:rPr>
          <w:rFonts w:ascii="Times New Roman" w:hAnsi="Times New Roman"/>
        </w:rPr>
      </w:pPr>
    </w:p>
    <w:p w:rsidR="007F0662" w:rsidRPr="009F4119" w:rsidRDefault="007F0662" w:rsidP="00923176">
      <w:pPr>
        <w:jc w:val="both"/>
        <w:rPr>
          <w:rFonts w:ascii="Times New Roman" w:hAnsi="Times New Roman"/>
          <w:lang w:val="it-IT"/>
        </w:rPr>
      </w:pPr>
      <w:r w:rsidRPr="009F4119">
        <w:rPr>
          <w:rFonts w:ascii="Times New Roman" w:hAnsi="Times New Roman"/>
          <w:lang w:val="it-IT"/>
        </w:rPr>
        <w:t xml:space="preserve">D. 6.1.59. </w:t>
      </w:r>
      <w:r w:rsidRPr="009F4119">
        <w:rPr>
          <w:rFonts w:ascii="Times New Roman" w:hAnsi="Times New Roman"/>
          <w:i/>
          <w:lang w:val="it-IT"/>
        </w:rPr>
        <w:t>Iulianus libro sexto ex Minicio. Habitator in aliena aedificia fenestras et ostia imposuit, eadem post annum dominus aedificiorum dempsit: quaero, is qui imposuerat possetne ea vindicare. Respondit posse: nam quae alienis aedificiis conexa essent, ea quamdiu iuncta manerent, eorundem aedificiorum esse, simul atque inde dempta essent, continuo in pristinam causam reverti.</w:t>
      </w:r>
    </w:p>
    <w:p w:rsidR="007F0662" w:rsidRPr="0070727E" w:rsidRDefault="007F0662" w:rsidP="00923176">
      <w:pPr>
        <w:jc w:val="both"/>
        <w:rPr>
          <w:rFonts w:ascii="Times New Roman" w:hAnsi="Times New Roman"/>
        </w:rPr>
      </w:pPr>
      <w:r>
        <w:rPr>
          <w:rFonts w:ascii="Times New Roman" w:hAnsi="Times New Roman"/>
        </w:rPr>
        <w:t xml:space="preserve">Julian w księdze szóstej z Minicjusza [Odpowiedzi]. </w:t>
      </w:r>
      <w:r w:rsidRPr="0070727E">
        <w:rPr>
          <w:rFonts w:ascii="Times New Roman" w:hAnsi="Times New Roman"/>
        </w:rPr>
        <w:t>Mieszkaniec (</w:t>
      </w:r>
      <w:r w:rsidRPr="0070727E">
        <w:rPr>
          <w:rFonts w:ascii="Times New Roman" w:hAnsi="Times New Roman"/>
          <w:i/>
        </w:rPr>
        <w:t>habitator</w:t>
      </w:r>
      <w:r w:rsidRPr="0070727E">
        <w:rPr>
          <w:rFonts w:ascii="Times New Roman" w:hAnsi="Times New Roman"/>
        </w:rPr>
        <w:t>) w</w:t>
      </w:r>
      <w:r>
        <w:rPr>
          <w:rFonts w:ascii="Times New Roman" w:hAnsi="Times New Roman"/>
        </w:rPr>
        <w:t>stawił</w:t>
      </w:r>
      <w:r w:rsidRPr="0070727E">
        <w:rPr>
          <w:rFonts w:ascii="Times New Roman" w:hAnsi="Times New Roman"/>
        </w:rPr>
        <w:t xml:space="preserve"> do obcego budynku okna i drzwi. Po roku zostały one odłączone przez właściciela (</w:t>
      </w:r>
      <w:r w:rsidRPr="0070727E">
        <w:rPr>
          <w:rFonts w:ascii="Times New Roman" w:hAnsi="Times New Roman"/>
          <w:i/>
        </w:rPr>
        <w:t>dominus</w:t>
      </w:r>
      <w:r w:rsidRPr="0070727E">
        <w:rPr>
          <w:rFonts w:ascii="Times New Roman" w:hAnsi="Times New Roman"/>
        </w:rPr>
        <w:t xml:space="preserve">). Pytam, czy </w:t>
      </w:r>
      <w:r>
        <w:rPr>
          <w:rFonts w:ascii="Times New Roman" w:hAnsi="Times New Roman"/>
        </w:rPr>
        <w:t>ten kto je wprawił</w:t>
      </w:r>
      <w:r w:rsidRPr="0070727E">
        <w:rPr>
          <w:rFonts w:ascii="Times New Roman" w:hAnsi="Times New Roman"/>
        </w:rPr>
        <w:t xml:space="preserve"> ma prawo je windykować. Odpowiedział (</w:t>
      </w:r>
      <w:r w:rsidRPr="0070727E">
        <w:rPr>
          <w:rFonts w:ascii="Times New Roman" w:hAnsi="Times New Roman"/>
          <w:i/>
        </w:rPr>
        <w:t>respondit</w:t>
      </w:r>
      <w:r w:rsidRPr="0070727E">
        <w:rPr>
          <w:rFonts w:ascii="Times New Roman" w:hAnsi="Times New Roman"/>
        </w:rPr>
        <w:t>), że ma</w:t>
      </w:r>
      <w:r>
        <w:rPr>
          <w:rFonts w:ascii="Times New Roman" w:hAnsi="Times New Roman"/>
        </w:rPr>
        <w:t>, ponieważ te [rzeczy], które zostały</w:t>
      </w:r>
      <w:r w:rsidRPr="0070727E">
        <w:rPr>
          <w:rFonts w:ascii="Times New Roman" w:hAnsi="Times New Roman"/>
        </w:rPr>
        <w:t xml:space="preserve"> złączone z</w:t>
      </w:r>
      <w:r>
        <w:rPr>
          <w:rFonts w:ascii="Times New Roman" w:hAnsi="Times New Roman"/>
        </w:rPr>
        <w:t xml:space="preserve"> cudzym budynkiem przynależą</w:t>
      </w:r>
      <w:r w:rsidRPr="0070727E">
        <w:rPr>
          <w:rFonts w:ascii="Times New Roman" w:hAnsi="Times New Roman"/>
        </w:rPr>
        <w:t xml:space="preserve"> bowiem do</w:t>
      </w:r>
      <w:r>
        <w:rPr>
          <w:rFonts w:ascii="Times New Roman" w:hAnsi="Times New Roman"/>
        </w:rPr>
        <w:t xml:space="preserve"> niego</w:t>
      </w:r>
      <w:r w:rsidRPr="0070727E">
        <w:rPr>
          <w:rFonts w:ascii="Times New Roman" w:hAnsi="Times New Roman"/>
        </w:rPr>
        <w:t xml:space="preserve"> tak długo, jak długo są z nim związane. Natomiast </w:t>
      </w:r>
      <w:r>
        <w:rPr>
          <w:rFonts w:ascii="Times New Roman" w:hAnsi="Times New Roman"/>
        </w:rPr>
        <w:t>jeśli się je stamtąd odłączy</w:t>
      </w:r>
      <w:r w:rsidRPr="0070727E">
        <w:rPr>
          <w:rFonts w:ascii="Times New Roman" w:hAnsi="Times New Roman"/>
        </w:rPr>
        <w:t xml:space="preserve"> powracają natychmiast do </w:t>
      </w:r>
      <w:r>
        <w:rPr>
          <w:rFonts w:ascii="Times New Roman" w:hAnsi="Times New Roman"/>
        </w:rPr>
        <w:t>swego pierwotnego stanu</w:t>
      </w:r>
      <w:r w:rsidRPr="0070727E">
        <w:rPr>
          <w:rFonts w:ascii="Times New Roman" w:hAnsi="Times New Roman"/>
        </w:rPr>
        <w:t xml:space="preserve"> (</w:t>
      </w:r>
      <w:r w:rsidRPr="0070727E">
        <w:rPr>
          <w:rFonts w:ascii="Times New Roman" w:hAnsi="Times New Roman"/>
          <w:i/>
        </w:rPr>
        <w:t>pristina causa</w:t>
      </w:r>
      <w:r w:rsidRPr="0070727E">
        <w:rPr>
          <w:rFonts w:ascii="Times New Roman" w:hAnsi="Times New Roman"/>
        </w:rPr>
        <w:t>).</w:t>
      </w:r>
    </w:p>
    <w:p w:rsidR="007F0662" w:rsidRDefault="007F0662" w:rsidP="00923176">
      <w:pPr>
        <w:jc w:val="both"/>
        <w:rPr>
          <w:rFonts w:ascii="Times New Roman" w:hAnsi="Times New Roman"/>
        </w:rPr>
      </w:pPr>
    </w:p>
    <w:p w:rsidR="007F0662" w:rsidRPr="009F4119" w:rsidRDefault="007F0662" w:rsidP="00923176">
      <w:pPr>
        <w:jc w:val="both"/>
        <w:rPr>
          <w:rFonts w:ascii="Times New Roman" w:hAnsi="Times New Roman"/>
          <w:i/>
          <w:lang w:val="it-IT"/>
        </w:rPr>
      </w:pPr>
      <w:r w:rsidRPr="009F4119">
        <w:rPr>
          <w:rFonts w:ascii="Times New Roman" w:hAnsi="Times New Roman"/>
          <w:lang w:val="it-IT"/>
        </w:rPr>
        <w:t xml:space="preserve">D. 39.2.47. </w:t>
      </w:r>
      <w:r w:rsidRPr="009F4119">
        <w:rPr>
          <w:rFonts w:ascii="Times New Roman" w:hAnsi="Times New Roman"/>
          <w:i/>
          <w:lang w:val="it-IT"/>
        </w:rPr>
        <w:t>Neratius libro sexto membranarum. (…) Sed et Labeo in libris posteriorum scribit binarum aedium dominum utrisque porticum superposuisse inque eam aditu ex alteris aedibus dato alteras aedes servitute oneris porticus servandae imposita vendidisse: totam porticum earum aedium esse, quas retinuisset, cum per longitudinem utriusque domus extensa esset transversae contignationi, quae ab utraque parte parietibus domus, quae venisset, sustineretur. Nec tamen consequens est, ut superior pars aedificii, quae nulli coniuncta sit neque aditum aliunde habeat, alterius sit, quam cuius est id cui superposita est.</w:t>
      </w:r>
    </w:p>
    <w:p w:rsidR="007F0662" w:rsidRDefault="007F0662" w:rsidP="00923176">
      <w:pPr>
        <w:jc w:val="both"/>
        <w:rPr>
          <w:rFonts w:ascii="Times New Roman" w:hAnsi="Times New Roman"/>
        </w:rPr>
      </w:pPr>
      <w:r>
        <w:rPr>
          <w:rFonts w:ascii="Times New Roman" w:hAnsi="Times New Roman"/>
        </w:rPr>
        <w:t xml:space="preserve">Neracjusz w księdze szóstej mebran. (…) Lecz i </w:t>
      </w:r>
      <w:r w:rsidRPr="00E4529F">
        <w:rPr>
          <w:rFonts w:ascii="Times New Roman" w:hAnsi="Times New Roman"/>
        </w:rPr>
        <w:t>Labeon pisze w „Dziełach pośmiertnych”, że właściciel dwóch budynków oparł na nich portyk, a następnie, urządziwszy doń dostęp z jednego budynku, obciążył drugi służebnością zachowania portyku i sprzedał. Cały portyk należał do budynku, który właściciel zatrzymał, choć rozciągał się przez długość obu domów i zawieszony był z obu stron na ścianach domu, który został sprzedany. Nie znaczy to jednak, by wyższa część budynku, która nie jest połączona z żadnym z nich i nie ma dojścia skądinąd, należała do kogoś innego niż właściciel budynku, nad którym jest nadbudowana.</w:t>
      </w:r>
    </w:p>
    <w:p w:rsidR="007F0662" w:rsidRDefault="007F0662" w:rsidP="00923176">
      <w:pPr>
        <w:jc w:val="both"/>
        <w:rPr>
          <w:rFonts w:ascii="Times New Roman" w:hAnsi="Times New Roman"/>
        </w:rPr>
      </w:pPr>
    </w:p>
    <w:p w:rsidR="007F0662" w:rsidRPr="00923176" w:rsidRDefault="007F0662" w:rsidP="00923176">
      <w:pPr>
        <w:jc w:val="both"/>
        <w:rPr>
          <w:rFonts w:ascii="Times New Roman" w:hAnsi="Times New Roman"/>
          <w:i/>
          <w:lang w:val="en-US"/>
        </w:rPr>
      </w:pPr>
      <w:r w:rsidRPr="009F4119">
        <w:rPr>
          <w:rFonts w:ascii="Times New Roman" w:hAnsi="Times New Roman"/>
          <w:lang w:val="it-IT"/>
        </w:rPr>
        <w:t xml:space="preserve">D. 6.1.79. </w:t>
      </w:r>
      <w:r w:rsidRPr="009F4119">
        <w:rPr>
          <w:rFonts w:ascii="Times New Roman" w:hAnsi="Times New Roman"/>
          <w:i/>
          <w:lang w:val="it-IT"/>
        </w:rPr>
        <w:t xml:space="preserve">Labeo libro sexto pithanon a Paulo epitomarum. </w:t>
      </w:r>
      <w:r w:rsidRPr="00923176">
        <w:rPr>
          <w:rFonts w:ascii="Times New Roman" w:hAnsi="Times New Roman"/>
          <w:i/>
          <w:lang w:val="en-US"/>
        </w:rPr>
        <w:t>Si hominem a me petieris et is post litem contestatam mortuus sit, fructus quoad is vixerit aestimari oportet. Paulus. Ita id verum esse puto, si non prius is homo in eam valetudinem inciderit, propter quam operae eius inutiles factae sunt: nam ne si vixisset quidem in ea valetudine, fructus eius temporis nomine aestimari conveniret.</w:t>
      </w:r>
    </w:p>
    <w:p w:rsidR="007F0662" w:rsidRDefault="007F0662" w:rsidP="00923176">
      <w:pPr>
        <w:jc w:val="both"/>
        <w:rPr>
          <w:rFonts w:ascii="Times New Roman" w:hAnsi="Times New Roman"/>
        </w:rPr>
      </w:pPr>
      <w:r w:rsidRPr="00A556F9">
        <w:rPr>
          <w:rFonts w:ascii="Times New Roman" w:hAnsi="Times New Roman"/>
        </w:rPr>
        <w:t>Labeon w ks. 6 „Pithan</w:t>
      </w:r>
      <w:r>
        <w:rPr>
          <w:rFonts w:ascii="Times New Roman" w:hAnsi="Times New Roman"/>
        </w:rPr>
        <w:t>a” streszczonych przez Paulusa.</w:t>
      </w:r>
      <w:r w:rsidRPr="00A556F9">
        <w:rPr>
          <w:rFonts w:ascii="Times New Roman" w:hAnsi="Times New Roman"/>
        </w:rPr>
        <w:t xml:space="preserve"> Gdy wytoczyłeś mi skargę o wydanie niewolnika, który zmarł po stwierdzeniu sporu (</w:t>
      </w:r>
      <w:r w:rsidRPr="00BA2113">
        <w:rPr>
          <w:rFonts w:ascii="Times New Roman" w:hAnsi="Times New Roman"/>
          <w:i/>
        </w:rPr>
        <w:t>litis contestatio</w:t>
      </w:r>
      <w:r w:rsidRPr="00A556F9">
        <w:rPr>
          <w:rFonts w:ascii="Times New Roman" w:hAnsi="Times New Roman"/>
        </w:rPr>
        <w:t>), pożytki należy oszacować za okres</w:t>
      </w:r>
      <w:r>
        <w:rPr>
          <w:rFonts w:ascii="Times New Roman" w:hAnsi="Times New Roman"/>
        </w:rPr>
        <w:t>, dopóki żył</w:t>
      </w:r>
      <w:r w:rsidRPr="00A556F9">
        <w:rPr>
          <w:rFonts w:ascii="Times New Roman" w:hAnsi="Times New Roman"/>
        </w:rPr>
        <w:t>. P</w:t>
      </w:r>
      <w:r>
        <w:rPr>
          <w:rFonts w:ascii="Times New Roman" w:hAnsi="Times New Roman"/>
        </w:rPr>
        <w:t>aulus.</w:t>
      </w:r>
      <w:r w:rsidRPr="00A556F9">
        <w:rPr>
          <w:rFonts w:ascii="Times New Roman" w:hAnsi="Times New Roman"/>
        </w:rPr>
        <w:t xml:space="preserve"> Uważam to za trafne o tyle, o ile niewolnik ten już wcześniej nie </w:t>
      </w:r>
      <w:r>
        <w:rPr>
          <w:rFonts w:ascii="Times New Roman" w:hAnsi="Times New Roman"/>
        </w:rPr>
        <w:t>zapadł na</w:t>
      </w:r>
      <w:r w:rsidRPr="00A556F9">
        <w:rPr>
          <w:rFonts w:ascii="Times New Roman" w:hAnsi="Times New Roman"/>
        </w:rPr>
        <w:t xml:space="preserve"> </w:t>
      </w:r>
      <w:r>
        <w:rPr>
          <w:rFonts w:ascii="Times New Roman" w:hAnsi="Times New Roman"/>
        </w:rPr>
        <w:t xml:space="preserve">taką </w:t>
      </w:r>
      <w:r w:rsidRPr="00A556F9">
        <w:rPr>
          <w:rFonts w:ascii="Times New Roman" w:hAnsi="Times New Roman"/>
        </w:rPr>
        <w:t>cho</w:t>
      </w:r>
      <w:r>
        <w:rPr>
          <w:rFonts w:ascii="Times New Roman" w:hAnsi="Times New Roman"/>
        </w:rPr>
        <w:t>robę, która uczyniła jego prace</w:t>
      </w:r>
      <w:r w:rsidRPr="00A556F9">
        <w:rPr>
          <w:rFonts w:ascii="Times New Roman" w:hAnsi="Times New Roman"/>
        </w:rPr>
        <w:t xml:space="preserve"> bez</w:t>
      </w:r>
      <w:r>
        <w:rPr>
          <w:rFonts w:ascii="Times New Roman" w:hAnsi="Times New Roman"/>
        </w:rPr>
        <w:t>wartościowymi</w:t>
      </w:r>
      <w:r w:rsidRPr="00A556F9">
        <w:rPr>
          <w:rFonts w:ascii="Times New Roman" w:hAnsi="Times New Roman"/>
        </w:rPr>
        <w:t xml:space="preserve">. Albowiem </w:t>
      </w:r>
      <w:r>
        <w:rPr>
          <w:rFonts w:ascii="Times New Roman" w:hAnsi="Times New Roman"/>
        </w:rPr>
        <w:t xml:space="preserve">nawet </w:t>
      </w:r>
      <w:r w:rsidRPr="00A556F9">
        <w:rPr>
          <w:rFonts w:ascii="Times New Roman" w:hAnsi="Times New Roman"/>
        </w:rPr>
        <w:t xml:space="preserve">gdyby </w:t>
      </w:r>
      <w:r>
        <w:rPr>
          <w:rFonts w:ascii="Times New Roman" w:hAnsi="Times New Roman"/>
        </w:rPr>
        <w:t>prze</w:t>
      </w:r>
      <w:r w:rsidRPr="00A556F9">
        <w:rPr>
          <w:rFonts w:ascii="Times New Roman" w:hAnsi="Times New Roman"/>
        </w:rPr>
        <w:t xml:space="preserve">żył </w:t>
      </w:r>
      <w:r>
        <w:rPr>
          <w:rFonts w:ascii="Times New Roman" w:hAnsi="Times New Roman"/>
        </w:rPr>
        <w:t>tę chorobę</w:t>
      </w:r>
      <w:r w:rsidRPr="00A556F9">
        <w:rPr>
          <w:rFonts w:ascii="Times New Roman" w:hAnsi="Times New Roman"/>
        </w:rPr>
        <w:t xml:space="preserve">, </w:t>
      </w:r>
      <w:r>
        <w:rPr>
          <w:rFonts w:ascii="Times New Roman" w:hAnsi="Times New Roman"/>
        </w:rPr>
        <w:t>o</w:t>
      </w:r>
      <w:r w:rsidRPr="00A556F9">
        <w:rPr>
          <w:rFonts w:ascii="Times New Roman" w:hAnsi="Times New Roman"/>
        </w:rPr>
        <w:t xml:space="preserve">szacowanie </w:t>
      </w:r>
      <w:r>
        <w:rPr>
          <w:rFonts w:ascii="Times New Roman" w:hAnsi="Times New Roman"/>
        </w:rPr>
        <w:t xml:space="preserve">pożytków za ten czas </w:t>
      </w:r>
      <w:r w:rsidRPr="00A556F9">
        <w:rPr>
          <w:rFonts w:ascii="Times New Roman" w:hAnsi="Times New Roman"/>
        </w:rPr>
        <w:t>byłoby niestosowne.</w:t>
      </w:r>
    </w:p>
    <w:p w:rsidR="007F0662" w:rsidRDefault="007F0662"/>
    <w:p w:rsidR="007F0662" w:rsidRDefault="007F0662"/>
    <w:p w:rsidR="007F0662" w:rsidRDefault="007F0662">
      <w:r>
        <w:t>LEKTURY DODATKOWE Z PRAWA RZECZOWEGO</w:t>
      </w:r>
    </w:p>
    <w:p w:rsidR="007F0662" w:rsidRDefault="007F0662" w:rsidP="0087443E">
      <w:pPr>
        <w:jc w:val="both"/>
        <w:rPr>
          <w:rFonts w:ascii="Times New Roman" w:hAnsi="Times New Roman"/>
        </w:rPr>
      </w:pPr>
    </w:p>
    <w:p w:rsidR="007F0662" w:rsidRPr="0087443E" w:rsidRDefault="007F0662" w:rsidP="0087443E">
      <w:pPr>
        <w:pStyle w:val="ListParagraph"/>
        <w:numPr>
          <w:ilvl w:val="0"/>
          <w:numId w:val="1"/>
        </w:numPr>
        <w:jc w:val="both"/>
        <w:rPr>
          <w:rFonts w:ascii="Times New Roman" w:hAnsi="Times New Roman"/>
        </w:rPr>
      </w:pPr>
      <w:r w:rsidRPr="0087443E">
        <w:rPr>
          <w:rFonts w:ascii="Times New Roman" w:hAnsi="Times New Roman"/>
        </w:rPr>
        <w:t xml:space="preserve">Bojarski, W., „Problem </w:t>
      </w:r>
      <w:r w:rsidRPr="0087443E">
        <w:rPr>
          <w:rFonts w:ascii="Times New Roman" w:hAnsi="Times New Roman"/>
          <w:i/>
        </w:rPr>
        <w:t>res incorporales</w:t>
      </w:r>
      <w:r w:rsidRPr="0087443E">
        <w:rPr>
          <w:rFonts w:ascii="Times New Roman" w:hAnsi="Times New Roman"/>
        </w:rPr>
        <w:t xml:space="preserve"> (rzeczy niematerialnych) w prawie rzymskim”, </w:t>
      </w:r>
      <w:r w:rsidRPr="0087443E">
        <w:rPr>
          <w:rFonts w:ascii="Times New Roman" w:hAnsi="Times New Roman"/>
          <w:i/>
        </w:rPr>
        <w:t>Acta Universitatis Nicolai Copernici</w:t>
      </w:r>
      <w:r w:rsidRPr="0087443E">
        <w:rPr>
          <w:rFonts w:ascii="Times New Roman" w:hAnsi="Times New Roman"/>
        </w:rPr>
        <w:t xml:space="preserve"> 105 Prawo 17 (1979), s. 21-37</w:t>
      </w:r>
    </w:p>
    <w:p w:rsidR="007F0662" w:rsidRDefault="007F0662">
      <w:r>
        <w:tab/>
      </w:r>
      <w:hyperlink r:id="rId5" w:history="1">
        <w:r w:rsidRPr="00BF4C9E">
          <w:rPr>
            <w:rStyle w:val="Hyperlink"/>
          </w:rPr>
          <w:t>http://bibliografie.wpia.uw.edu.pl/bprp/files/Bojar.13.pdf</w:t>
        </w:r>
      </w:hyperlink>
    </w:p>
    <w:p w:rsidR="007F0662" w:rsidRDefault="007F0662"/>
    <w:p w:rsidR="007F0662" w:rsidRPr="0087443E" w:rsidRDefault="007F0662" w:rsidP="0087443E">
      <w:pPr>
        <w:pStyle w:val="ListParagraph"/>
        <w:numPr>
          <w:ilvl w:val="0"/>
          <w:numId w:val="1"/>
        </w:numPr>
        <w:rPr>
          <w:rFonts w:ascii="Times New Roman" w:hAnsi="Times New Roman"/>
        </w:rPr>
      </w:pPr>
      <w:r w:rsidRPr="0087443E">
        <w:rPr>
          <w:rFonts w:ascii="Times New Roman" w:hAnsi="Times New Roman"/>
        </w:rPr>
        <w:t>Dyjakowska M., 'Superficies' - rzymskie korzenie prawa zabudowy.</w:t>
      </w:r>
    </w:p>
    <w:p w:rsidR="007F0662" w:rsidRDefault="007F0662" w:rsidP="0087443E">
      <w:pPr>
        <w:pStyle w:val="ListParagraph"/>
      </w:pPr>
      <w:hyperlink r:id="rId6" w:history="1">
        <w:r w:rsidRPr="00BF4C9E">
          <w:rPr>
            <w:rStyle w:val="Hyperlink"/>
          </w:rPr>
          <w:t>https://czasopisma.uksw.edu.pl/index.php/zp/article/view/699/735</w:t>
        </w:r>
      </w:hyperlink>
    </w:p>
    <w:p w:rsidR="007F0662" w:rsidRDefault="007F0662" w:rsidP="0087443E">
      <w:pPr>
        <w:pStyle w:val="ListParagraph"/>
      </w:pPr>
      <w:bookmarkStart w:id="0" w:name="_GoBack"/>
      <w:bookmarkEnd w:id="0"/>
    </w:p>
    <w:p w:rsidR="007F0662" w:rsidRDefault="007F0662" w:rsidP="0087443E">
      <w:pPr>
        <w:pStyle w:val="ListParagraph"/>
      </w:pPr>
    </w:p>
    <w:p w:rsidR="007F0662" w:rsidRDefault="007F0662" w:rsidP="00D96872">
      <w:pPr>
        <w:pStyle w:val="ListParagraph"/>
        <w:numPr>
          <w:ilvl w:val="0"/>
          <w:numId w:val="1"/>
        </w:numPr>
      </w:pPr>
      <w:r w:rsidRPr="002B0632">
        <w:t xml:space="preserve">Beata Ruszkiewicz, </w:t>
      </w:r>
      <w:r>
        <w:t>„</w:t>
      </w:r>
      <w:r w:rsidRPr="002B0632">
        <w:t>Longi taemporis praescriptio</w:t>
      </w:r>
      <w:r>
        <w:t>”</w:t>
      </w:r>
      <w:r w:rsidRPr="002B0632">
        <w:t xml:space="preserve"> jako</w:t>
      </w:r>
      <w:r>
        <w:t xml:space="preserve"> zarzut długiego okresu posiadania.</w:t>
      </w:r>
    </w:p>
    <w:p w:rsidR="007F0662" w:rsidRPr="002B0632" w:rsidRDefault="007F0662" w:rsidP="002B0632">
      <w:pPr>
        <w:pStyle w:val="ListParagraph"/>
      </w:pPr>
      <w:hyperlink r:id="rId7" w:history="1">
        <w:r>
          <w:rPr>
            <w:rStyle w:val="Hyperlink"/>
          </w:rPr>
          <w:t>http://bazhum.muzhp.pl/media//files/Zeszyty_Prawnicze/Zeszyty_Prawnicze-r2011-t11-n1/Zeszyty_Prawnicze-r2011-t11-n1-s235-248/Zeszyty_Prawnicze-r2011-t11-n1-s235-248.pdf</w:t>
        </w:r>
      </w:hyperlink>
    </w:p>
    <w:sectPr w:rsidR="007F0662" w:rsidRPr="002B0632" w:rsidSect="00E87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E6E7E"/>
    <w:multiLevelType w:val="hybridMultilevel"/>
    <w:tmpl w:val="2A80C0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BD9"/>
    <w:rsid w:val="002B0632"/>
    <w:rsid w:val="00695D79"/>
    <w:rsid w:val="0070727E"/>
    <w:rsid w:val="00763C0E"/>
    <w:rsid w:val="007F0662"/>
    <w:rsid w:val="0087443E"/>
    <w:rsid w:val="00923176"/>
    <w:rsid w:val="009F4119"/>
    <w:rsid w:val="00A556F9"/>
    <w:rsid w:val="00A56E37"/>
    <w:rsid w:val="00B26B55"/>
    <w:rsid w:val="00B57BD9"/>
    <w:rsid w:val="00BA2113"/>
    <w:rsid w:val="00BF4C9E"/>
    <w:rsid w:val="00D96872"/>
    <w:rsid w:val="00DD37FC"/>
    <w:rsid w:val="00E4529F"/>
    <w:rsid w:val="00E872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rsid w:val="0013713F"/>
    <w:rPr>
      <w:rFonts w:ascii="Times New Roman" w:hAnsi="Times New Roman"/>
      <w:sz w:val="0"/>
      <w:szCs w:val="0"/>
      <w:lang w:eastAsia="en-US"/>
    </w:rPr>
  </w:style>
  <w:style w:type="character" w:styleId="Hyperlink">
    <w:name w:val="Hyperlink"/>
    <w:basedOn w:val="DefaultParagraphFont"/>
    <w:uiPriority w:val="99"/>
    <w:rsid w:val="0087443E"/>
    <w:rPr>
      <w:rFonts w:cs="Times New Roman"/>
      <w:color w:val="0000FF"/>
      <w:u w:val="single"/>
    </w:rPr>
  </w:style>
  <w:style w:type="paragraph" w:styleId="ListParagraph">
    <w:name w:val="List Paragraph"/>
    <w:basedOn w:val="Normal"/>
    <w:uiPriority w:val="99"/>
    <w:qFormat/>
    <w:rsid w:val="0087443E"/>
    <w:pPr>
      <w:ind w:left="720"/>
      <w:contextualSpacing/>
    </w:pPr>
  </w:style>
  <w:style w:type="character" w:customStyle="1" w:styleId="UnresolvedMention">
    <w:name w:val="Unresolved Mention"/>
    <w:basedOn w:val="DefaultParagraphFont"/>
    <w:uiPriority w:val="99"/>
    <w:semiHidden/>
    <w:rsid w:val="0087443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99928705">
      <w:marLeft w:val="0"/>
      <w:marRight w:val="0"/>
      <w:marTop w:val="0"/>
      <w:marBottom w:val="0"/>
      <w:divBdr>
        <w:top w:val="none" w:sz="0" w:space="0" w:color="auto"/>
        <w:left w:val="none" w:sz="0" w:space="0" w:color="auto"/>
        <w:bottom w:val="none" w:sz="0" w:space="0" w:color="auto"/>
        <w:right w:val="none" w:sz="0" w:space="0" w:color="auto"/>
      </w:divBdr>
    </w:div>
    <w:div w:id="149992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zhum.muzhp.pl/media/files/Zeszyty_Prawnicze/Zeszyty_Prawnicze-r2011-t11-n1/Zeszyty_Prawnicze-r2011-t11-n1-s235-248/Zeszyty_Prawnicze-r2011-t11-n1-s235-24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asopisma.uksw.edu.pl/index.php/zp/article/view/699/735" TargetMode="External"/><Relationship Id="rId5" Type="http://schemas.openxmlformats.org/officeDocument/2006/relationships/hyperlink" Target="http://bibliografie.wpia.uw.edu.pl/bprp/files/Bojar.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1069</Words>
  <Characters>6415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Prawo rzymskie, teksty źródłowe (prawo rzeczowe) – WPiA UG, rok akademicki 2019/2020</dc:title>
  <dc:subject/>
  <dc:creator>Beata Jolanta Kowalczyk</dc:creator>
  <cp:keywords/>
  <dc:description/>
  <cp:lastModifiedBy>User</cp:lastModifiedBy>
  <cp:revision>2</cp:revision>
  <dcterms:created xsi:type="dcterms:W3CDTF">2019-10-28T12:43:00Z</dcterms:created>
  <dcterms:modified xsi:type="dcterms:W3CDTF">2019-10-28T12:43:00Z</dcterms:modified>
</cp:coreProperties>
</file>