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EE04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90ED5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AD321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1E0B">
        <w:rPr>
          <w:rFonts w:ascii="Times New Roman" w:hAnsi="Times New Roman" w:cs="Times New Roman"/>
          <w:b/>
          <w:bCs/>
          <w:sz w:val="24"/>
          <w:szCs w:val="24"/>
        </w:rPr>
        <w:t xml:space="preserve">Zakład Prawa Rzymskiego </w:t>
      </w:r>
      <w:proofErr w:type="spellStart"/>
      <w:r w:rsidRPr="007D1E0B">
        <w:rPr>
          <w:rFonts w:ascii="Times New Roman" w:hAnsi="Times New Roman" w:cs="Times New Roman"/>
          <w:b/>
          <w:bCs/>
          <w:sz w:val="24"/>
          <w:szCs w:val="24"/>
        </w:rPr>
        <w:t>WPiA</w:t>
      </w:r>
      <w:proofErr w:type="spellEnd"/>
      <w:r w:rsidRPr="007D1E0B">
        <w:rPr>
          <w:rFonts w:ascii="Times New Roman" w:hAnsi="Times New Roman" w:cs="Times New Roman"/>
          <w:b/>
          <w:bCs/>
          <w:sz w:val="24"/>
          <w:szCs w:val="24"/>
        </w:rPr>
        <w:t xml:space="preserve"> UG, rok akademicki 2022/2023</w:t>
      </w:r>
    </w:p>
    <w:p w14:paraId="553252FB" w14:textId="5F37864F" w:rsidR="007D1E0B" w:rsidRPr="003E14C9" w:rsidRDefault="007D1E0B" w:rsidP="007D1E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E14C9">
        <w:rPr>
          <w:rFonts w:ascii="Times New Roman" w:hAnsi="Times New Roman" w:cs="Times New Roman"/>
          <w:b/>
          <w:bCs/>
          <w:sz w:val="24"/>
          <w:szCs w:val="24"/>
          <w:lang w:val="en-US"/>
        </w:rPr>
        <w:t>Kwestionariusz</w:t>
      </w:r>
      <w:proofErr w:type="spellEnd"/>
      <w:r w:rsidRPr="003E1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b/>
          <w:bCs/>
          <w:sz w:val="24"/>
          <w:szCs w:val="24"/>
          <w:lang w:val="en-US"/>
        </w:rPr>
        <w:t>zadań</w:t>
      </w:r>
      <w:proofErr w:type="spellEnd"/>
      <w:r w:rsidRPr="003E14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7</w:t>
      </w:r>
    </w:p>
    <w:p w14:paraId="06A657A8" w14:textId="77777777" w:rsidR="007D1E0B" w:rsidRPr="003E14C9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7D6DCC" w14:textId="25B5BCB8" w:rsidR="007D1E0B" w:rsidRPr="003E14C9" w:rsidRDefault="007D1E0B" w:rsidP="007D1E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4C9">
        <w:rPr>
          <w:rFonts w:ascii="Times New Roman" w:hAnsi="Times New Roman" w:cs="Times New Roman"/>
          <w:sz w:val="24"/>
          <w:szCs w:val="24"/>
          <w:lang w:val="en-US"/>
        </w:rPr>
        <w:t>D. 43, 1</w:t>
      </w:r>
      <w:r w:rsidR="00576060" w:rsidRPr="003E14C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060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Gaius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libro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vicensimo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quinto ad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edictum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provinciale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Superficiarias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aedes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appellamus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quae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conducto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solo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positae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sunt: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quarum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proprietas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civili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naturali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iure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eius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est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cuius</w:t>
      </w:r>
      <w:proofErr w:type="spellEnd"/>
      <w:r w:rsidR="00576060"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solum.</w:t>
      </w:r>
    </w:p>
    <w:p w14:paraId="04E9F392" w14:textId="77777777" w:rsidR="007D1E0B" w:rsidRPr="003E14C9" w:rsidRDefault="007D1E0B" w:rsidP="007D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31CDF5" w14:textId="2E8A67D1" w:rsidR="007D1E0B" w:rsidRPr="007D1E0B" w:rsidRDefault="00576060" w:rsidP="007D1E0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księdze dwudziestej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pierwszej </w:t>
      </w:r>
      <w:r w:rsidR="007D1E0B" w:rsidRPr="007D1E0B">
        <w:rPr>
          <w:rFonts w:ascii="Times New Roman" w:hAnsi="Times New Roman" w:cs="Times New Roman"/>
          <w:sz w:val="24"/>
          <w:szCs w:val="24"/>
        </w:rPr>
        <w:t xml:space="preserve"> Komentarza</w:t>
      </w:r>
      <w:proofErr w:type="gramEnd"/>
      <w:r w:rsidR="007D1E0B" w:rsidRPr="007D1E0B">
        <w:rPr>
          <w:rFonts w:ascii="Times New Roman" w:hAnsi="Times New Roman" w:cs="Times New Roman"/>
          <w:sz w:val="24"/>
          <w:szCs w:val="24"/>
        </w:rPr>
        <w:t xml:space="preserve"> do edyktu</w:t>
      </w:r>
      <w:r>
        <w:rPr>
          <w:rFonts w:ascii="Times New Roman" w:hAnsi="Times New Roman" w:cs="Times New Roman"/>
          <w:sz w:val="24"/>
          <w:szCs w:val="24"/>
        </w:rPr>
        <w:t xml:space="preserve"> prowincjonalnego</w:t>
      </w:r>
      <w:r w:rsidR="007D1E0B" w:rsidRPr="007D1E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Budynkami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superficjarnymi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nazywamy te, które zostały wzniesione na gruncie wynajętym [wziętym w dzierżawę], a których własność zarówno w świetle </w:t>
      </w:r>
      <w:proofErr w:type="spellStart"/>
      <w:r>
        <w:rPr>
          <w:rFonts w:ascii="Times New Roman" w:hAnsi="Times New Roman" w:cs="Times New Roman"/>
          <w:sz w:val="24"/>
          <w:szCs w:val="24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>, jak i prawa naturalnego przysługuje temu, czyj jest grunt.</w:t>
      </w:r>
      <w:r w:rsidR="007D1E0B"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D7D4E" w14:textId="01313F54" w:rsid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571AC8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CF07B" w14:textId="603AAE7B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b/>
          <w:bCs/>
          <w:sz w:val="24"/>
          <w:szCs w:val="24"/>
        </w:rPr>
        <w:t>I. Cel zajęć:</w:t>
      </w:r>
      <w:r w:rsidRPr="007D1E0B">
        <w:rPr>
          <w:rFonts w:ascii="Times New Roman" w:hAnsi="Times New Roman" w:cs="Times New Roman"/>
          <w:sz w:val="24"/>
          <w:szCs w:val="24"/>
        </w:rPr>
        <w:t xml:space="preserve"> Celem zajęć jest wprowadzenie do zagadnień związanych z </w:t>
      </w:r>
      <w:r>
        <w:rPr>
          <w:rFonts w:ascii="Times New Roman" w:hAnsi="Times New Roman" w:cs="Times New Roman"/>
          <w:sz w:val="24"/>
          <w:szCs w:val="24"/>
        </w:rPr>
        <w:t>ograniczony</w:t>
      </w:r>
      <w:r w:rsidR="00E859C1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praw</w:t>
      </w:r>
      <w:r w:rsidR="00E859C1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rzeczowy</w:t>
      </w:r>
      <w:r w:rsidR="00E859C1">
        <w:rPr>
          <w:rFonts w:ascii="Times New Roman" w:hAnsi="Times New Roman" w:cs="Times New Roman"/>
          <w:sz w:val="24"/>
          <w:szCs w:val="24"/>
        </w:rPr>
        <w:t>mi w prawie rzymskim</w:t>
      </w:r>
      <w:r w:rsidRPr="007D1E0B">
        <w:rPr>
          <w:rFonts w:ascii="Times New Roman" w:hAnsi="Times New Roman" w:cs="Times New Roman"/>
          <w:sz w:val="24"/>
          <w:szCs w:val="24"/>
        </w:rPr>
        <w:t xml:space="preserve">. Studenci poznają </w:t>
      </w:r>
      <w:r w:rsidR="00E859C1">
        <w:rPr>
          <w:rFonts w:ascii="Times New Roman" w:hAnsi="Times New Roman" w:cs="Times New Roman"/>
          <w:sz w:val="24"/>
          <w:szCs w:val="24"/>
        </w:rPr>
        <w:t xml:space="preserve">ich </w:t>
      </w:r>
      <w:r w:rsidRPr="007D1E0B">
        <w:rPr>
          <w:rFonts w:ascii="Times New Roman" w:hAnsi="Times New Roman" w:cs="Times New Roman"/>
          <w:sz w:val="24"/>
          <w:szCs w:val="24"/>
        </w:rPr>
        <w:t xml:space="preserve">katalog </w:t>
      </w:r>
      <w:r w:rsidR="00E859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charakterystykę</w:t>
      </w:r>
      <w:r w:rsidR="0096594A">
        <w:rPr>
          <w:rFonts w:ascii="Times New Roman" w:hAnsi="Times New Roman" w:cs="Times New Roman"/>
          <w:sz w:val="24"/>
          <w:szCs w:val="24"/>
        </w:rPr>
        <w:t xml:space="preserve">, w tym związek </w:t>
      </w:r>
      <w:r w:rsidR="00E859C1">
        <w:rPr>
          <w:rFonts w:ascii="Times New Roman" w:hAnsi="Times New Roman" w:cs="Times New Roman"/>
          <w:sz w:val="24"/>
          <w:szCs w:val="24"/>
        </w:rPr>
        <w:t xml:space="preserve">między prawami </w:t>
      </w:r>
      <w:r w:rsidR="0096594A">
        <w:rPr>
          <w:rFonts w:ascii="Times New Roman" w:hAnsi="Times New Roman" w:cs="Times New Roman"/>
          <w:sz w:val="24"/>
          <w:szCs w:val="24"/>
        </w:rPr>
        <w:t>zastaw</w:t>
      </w:r>
      <w:r w:rsidR="00E859C1">
        <w:rPr>
          <w:rFonts w:ascii="Times New Roman" w:hAnsi="Times New Roman" w:cs="Times New Roman"/>
          <w:sz w:val="24"/>
          <w:szCs w:val="24"/>
        </w:rPr>
        <w:t xml:space="preserve">niczymi a </w:t>
      </w:r>
      <w:r w:rsidR="0096594A">
        <w:rPr>
          <w:rFonts w:ascii="Times New Roman" w:hAnsi="Times New Roman" w:cs="Times New Roman"/>
          <w:sz w:val="24"/>
          <w:szCs w:val="24"/>
        </w:rPr>
        <w:t>prawem ob</w:t>
      </w:r>
      <w:r w:rsidR="00EE248C">
        <w:rPr>
          <w:rFonts w:ascii="Times New Roman" w:hAnsi="Times New Roman" w:cs="Times New Roman"/>
          <w:sz w:val="24"/>
          <w:szCs w:val="24"/>
        </w:rPr>
        <w:t>l</w:t>
      </w:r>
      <w:r w:rsidR="0096594A">
        <w:rPr>
          <w:rFonts w:ascii="Times New Roman" w:hAnsi="Times New Roman" w:cs="Times New Roman"/>
          <w:sz w:val="24"/>
          <w:szCs w:val="24"/>
        </w:rPr>
        <w:t>igacyjnym</w:t>
      </w:r>
      <w:r w:rsidRPr="007D1E0B">
        <w:rPr>
          <w:rFonts w:ascii="Times New Roman" w:hAnsi="Times New Roman" w:cs="Times New Roman"/>
          <w:sz w:val="24"/>
          <w:szCs w:val="24"/>
        </w:rPr>
        <w:t>.</w:t>
      </w:r>
    </w:p>
    <w:p w14:paraId="39225BAD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3D024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Czas pracy własnej: 420 min. </w:t>
      </w:r>
    </w:p>
    <w:p w14:paraId="56F4DC2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Czas zajęć: 2x45 min. </w:t>
      </w:r>
    </w:p>
    <w:p w14:paraId="0AAFA828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2B909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Zadania: W ramach przygotowania do ćwiczeń (praca własna), student jest zobowiązany do zapoznania się z treścią podręczników oraz lektur i sporządzenia słowniczka terminów i pojęć; Powinien przygotować się do analizy tekstu źródłowego z tłumaczeniem w języku polskim – wyjaśnienia znajdują się przy tekście poniżej. Ponadto w zespołach student przygotowuje się do symulacji sporu sądowego.</w:t>
      </w:r>
    </w:p>
    <w:p w14:paraId="22115215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6B1D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5B02" w14:textId="15B1D866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b/>
          <w:bCs/>
          <w:sz w:val="24"/>
          <w:szCs w:val="24"/>
        </w:rPr>
        <w:t>Lektura:</w:t>
      </w:r>
      <w:r w:rsidRPr="007D1E0B">
        <w:rPr>
          <w:rFonts w:ascii="Times New Roman" w:hAnsi="Times New Roman" w:cs="Times New Roman"/>
          <w:sz w:val="24"/>
          <w:szCs w:val="24"/>
        </w:rPr>
        <w:t xml:space="preserve"> podręcznik T.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Giaro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Dajczak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Longchamps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Berier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, </w:t>
      </w:r>
      <w:r w:rsidRPr="00E859C1">
        <w:rPr>
          <w:rFonts w:ascii="Times New Roman" w:hAnsi="Times New Roman" w:cs="Times New Roman"/>
          <w:i/>
          <w:iCs/>
          <w:sz w:val="24"/>
          <w:szCs w:val="24"/>
        </w:rPr>
        <w:t>Prawo rzymskie. U podstaw prawa prywatnego</w:t>
      </w:r>
      <w:r w:rsidRPr="007D1E0B">
        <w:rPr>
          <w:rFonts w:ascii="Times New Roman" w:hAnsi="Times New Roman" w:cs="Times New Roman"/>
          <w:sz w:val="24"/>
          <w:szCs w:val="24"/>
        </w:rPr>
        <w:t>, wyd. 3, Warszawa 2018,</w:t>
      </w:r>
      <w:r w:rsidR="00E859C1" w:rsidRPr="00E859C1">
        <w:rPr>
          <w:rFonts w:ascii="Times New Roman" w:hAnsi="Times New Roman" w:cs="Times New Roman"/>
          <w:sz w:val="24"/>
          <w:szCs w:val="24"/>
        </w:rPr>
        <w:t xml:space="preserve"> </w:t>
      </w:r>
      <w:r w:rsidR="00E859C1" w:rsidRPr="007D1E0B">
        <w:rPr>
          <w:rFonts w:ascii="Times New Roman" w:hAnsi="Times New Roman" w:cs="Times New Roman"/>
          <w:sz w:val="24"/>
          <w:szCs w:val="24"/>
        </w:rPr>
        <w:t>s. 4</w:t>
      </w:r>
      <w:r w:rsidR="00E859C1">
        <w:rPr>
          <w:rFonts w:ascii="Times New Roman" w:hAnsi="Times New Roman" w:cs="Times New Roman"/>
          <w:sz w:val="24"/>
          <w:szCs w:val="24"/>
        </w:rPr>
        <w:t>3</w:t>
      </w:r>
      <w:r w:rsidR="00E859C1" w:rsidRPr="007D1E0B">
        <w:rPr>
          <w:rFonts w:ascii="Times New Roman" w:hAnsi="Times New Roman" w:cs="Times New Roman"/>
          <w:sz w:val="24"/>
          <w:szCs w:val="24"/>
        </w:rPr>
        <w:t xml:space="preserve">5 – </w:t>
      </w:r>
      <w:r w:rsidR="00E859C1">
        <w:rPr>
          <w:rFonts w:ascii="Times New Roman" w:hAnsi="Times New Roman" w:cs="Times New Roman"/>
          <w:sz w:val="24"/>
          <w:szCs w:val="24"/>
        </w:rPr>
        <w:t xml:space="preserve">460, 570-572; </w:t>
      </w:r>
      <w:r w:rsidRPr="007D1E0B">
        <w:rPr>
          <w:rFonts w:ascii="Times New Roman" w:hAnsi="Times New Roman" w:cs="Times New Roman"/>
          <w:sz w:val="24"/>
          <w:szCs w:val="24"/>
        </w:rPr>
        <w:t xml:space="preserve">K. Kolańczyk, </w:t>
      </w:r>
      <w:r w:rsidRPr="00E859C1">
        <w:rPr>
          <w:rFonts w:ascii="Times New Roman" w:hAnsi="Times New Roman" w:cs="Times New Roman"/>
          <w:i/>
          <w:iCs/>
          <w:sz w:val="24"/>
          <w:szCs w:val="24"/>
        </w:rPr>
        <w:t>Prawo rzymskie</w:t>
      </w:r>
      <w:r w:rsidRPr="007D1E0B">
        <w:rPr>
          <w:rFonts w:ascii="Times New Roman" w:hAnsi="Times New Roman" w:cs="Times New Roman"/>
          <w:sz w:val="24"/>
          <w:szCs w:val="24"/>
        </w:rPr>
        <w:t xml:space="preserve">, </w:t>
      </w:r>
      <w:r w:rsidR="00E859C1">
        <w:rPr>
          <w:rFonts w:ascii="Times New Roman" w:hAnsi="Times New Roman" w:cs="Times New Roman"/>
          <w:sz w:val="24"/>
          <w:szCs w:val="24"/>
        </w:rPr>
        <w:t>Warszawa 2007, §§ 117-121, 131</w:t>
      </w:r>
      <w:r w:rsidRPr="007D1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A0888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63B14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51081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1E0B">
        <w:rPr>
          <w:rFonts w:ascii="Times New Roman" w:hAnsi="Times New Roman" w:cs="Times New Roman"/>
          <w:b/>
          <w:bCs/>
          <w:sz w:val="24"/>
          <w:szCs w:val="24"/>
        </w:rPr>
        <w:t xml:space="preserve">II. Słowniczek terminów i pojęć obowiązujących do samodzielnego sporządzenia i wyjaśnienia </w:t>
      </w:r>
    </w:p>
    <w:p w14:paraId="30D72571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9D6B" w14:textId="3DD32296" w:rsidR="007D1E0B" w:rsidRPr="003E14C9" w:rsidRDefault="003E14C9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59C1" w:rsidRPr="003E14C9">
        <w:rPr>
          <w:rFonts w:ascii="Times New Roman" w:hAnsi="Times New Roman" w:cs="Times New Roman"/>
          <w:sz w:val="24"/>
          <w:szCs w:val="24"/>
          <w:lang w:val="en-US"/>
        </w:rPr>
        <w:t>ervitutes</w:t>
      </w:r>
      <w:proofErr w:type="spellEnd"/>
      <w:r w:rsidR="00E859C1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76060" w:rsidRPr="003E14C9">
        <w:rPr>
          <w:rFonts w:ascii="Times New Roman" w:hAnsi="Times New Roman" w:cs="Times New Roman"/>
          <w:sz w:val="24"/>
          <w:szCs w:val="24"/>
          <w:lang w:val="en-US"/>
        </w:rPr>
        <w:t>servitutes</w:t>
      </w:r>
      <w:proofErr w:type="spellEnd"/>
      <w:r w:rsidR="00576060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6060" w:rsidRPr="003E14C9">
        <w:rPr>
          <w:rFonts w:ascii="Times New Roman" w:hAnsi="Times New Roman" w:cs="Times New Roman"/>
          <w:sz w:val="24"/>
          <w:szCs w:val="24"/>
          <w:lang w:val="en-US"/>
        </w:rPr>
        <w:t>praediorum</w:t>
      </w:r>
      <w:proofErr w:type="spellEnd"/>
      <w:r w:rsidR="00576060" w:rsidRPr="003E14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063E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063E" w:rsidRPr="003E14C9">
        <w:rPr>
          <w:rFonts w:ascii="Times New Roman" w:hAnsi="Times New Roman" w:cs="Times New Roman"/>
          <w:sz w:val="24"/>
          <w:szCs w:val="24"/>
          <w:lang w:val="en-US"/>
        </w:rPr>
        <w:t>utilitas</w:t>
      </w:r>
      <w:proofErr w:type="spellEnd"/>
      <w:r w:rsidR="0063063E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063E" w:rsidRPr="003E14C9">
        <w:rPr>
          <w:rFonts w:ascii="Times New Roman" w:hAnsi="Times New Roman" w:cs="Times New Roman"/>
          <w:sz w:val="24"/>
          <w:szCs w:val="24"/>
          <w:lang w:val="en-US"/>
        </w:rPr>
        <w:t>praedi</w:t>
      </w:r>
      <w:proofErr w:type="spellEnd"/>
      <w:r w:rsidR="0063063E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063E" w:rsidRPr="003E14C9">
        <w:rPr>
          <w:rFonts w:ascii="Times New Roman" w:hAnsi="Times New Roman" w:cs="Times New Roman"/>
          <w:sz w:val="24"/>
          <w:szCs w:val="24"/>
          <w:lang w:val="en-US"/>
        </w:rPr>
        <w:t>perpetua</w:t>
      </w:r>
      <w:proofErr w:type="spellEnd"/>
      <w:r w:rsidR="0063063E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causa, </w:t>
      </w:r>
      <w:proofErr w:type="spellStart"/>
      <w:r w:rsidR="00FB1A31" w:rsidRPr="003E14C9">
        <w:rPr>
          <w:rFonts w:ascii="Times New Roman" w:hAnsi="Times New Roman" w:cs="Times New Roman"/>
          <w:sz w:val="24"/>
          <w:szCs w:val="24"/>
          <w:lang w:val="en-US"/>
        </w:rPr>
        <w:t>praedium</w:t>
      </w:r>
      <w:proofErr w:type="spellEnd"/>
      <w:r w:rsidR="00FB1A31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A31" w:rsidRPr="003E14C9">
        <w:rPr>
          <w:rFonts w:ascii="Times New Roman" w:hAnsi="Times New Roman" w:cs="Times New Roman"/>
          <w:sz w:val="24"/>
          <w:szCs w:val="24"/>
          <w:lang w:val="en-US"/>
        </w:rPr>
        <w:t>dominans</w:t>
      </w:r>
      <w:proofErr w:type="spellEnd"/>
      <w:r w:rsidR="00FB1A31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1A31" w:rsidRPr="003E14C9">
        <w:rPr>
          <w:rFonts w:ascii="Times New Roman" w:hAnsi="Times New Roman" w:cs="Times New Roman"/>
          <w:sz w:val="24"/>
          <w:szCs w:val="24"/>
          <w:lang w:val="en-US"/>
        </w:rPr>
        <w:t>praedium</w:t>
      </w:r>
      <w:proofErr w:type="spellEnd"/>
      <w:r w:rsidR="00FB1A31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A31" w:rsidRPr="003E14C9">
        <w:rPr>
          <w:rFonts w:ascii="Times New Roman" w:hAnsi="Times New Roman" w:cs="Times New Roman"/>
          <w:sz w:val="24"/>
          <w:szCs w:val="24"/>
          <w:lang w:val="en-US"/>
        </w:rPr>
        <w:t>serviens</w:t>
      </w:r>
      <w:proofErr w:type="spellEnd"/>
      <w:r w:rsidR="0063063E" w:rsidRPr="003E14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1A31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usu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fructus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nuda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proprietas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servus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fructuarius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usus,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habitatio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operae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servorum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animalium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actio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confessoria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vindicatio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ususfructus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usufructus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irregularis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ius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emphyteuticarium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superficies, pactum fiduciae, </w:t>
      </w:r>
      <w:proofErr w:type="spellStart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>actio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fiduciae, pignus, hypotheca,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subpignus</w:t>
      </w:r>
      <w:proofErr w:type="spellEnd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lex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commissoria</w:t>
      </w:r>
      <w:proofErr w:type="spellEnd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pactum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antichreticum</w:t>
      </w:r>
      <w:proofErr w:type="spellEnd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obligatio</w:t>
      </w:r>
      <w:proofErr w:type="spellEnd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obli</w:t>
      </w:r>
      <w:r w:rsidR="00E859C1" w:rsidRPr="003E14C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atio</w:t>
      </w:r>
      <w:proofErr w:type="spellEnd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contractu</w:t>
      </w:r>
      <w:proofErr w:type="spellEnd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creditor,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debitor</w:t>
      </w:r>
      <w:proofErr w:type="spellEnd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mora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debitoris</w:t>
      </w:r>
      <w:proofErr w:type="spellEnd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, mora </w:t>
      </w:r>
      <w:proofErr w:type="spellStart"/>
      <w:r w:rsidR="0096594A" w:rsidRPr="003E14C9">
        <w:rPr>
          <w:rFonts w:ascii="Times New Roman" w:hAnsi="Times New Roman" w:cs="Times New Roman"/>
          <w:sz w:val="24"/>
          <w:szCs w:val="24"/>
          <w:lang w:val="en-US"/>
        </w:rPr>
        <w:t>creditoris</w:t>
      </w:r>
      <w:proofErr w:type="spellEnd"/>
      <w:r w:rsidR="007D1E0B"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4F1048" w14:textId="77777777" w:rsidR="007D1E0B" w:rsidRPr="003E14C9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3037C0" w14:textId="77777777" w:rsidR="007D1E0B" w:rsidRPr="003E14C9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D7B749" w14:textId="77777777" w:rsidR="007D1E0B" w:rsidRPr="003E14C9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4C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069F6163" w14:textId="77777777" w:rsidR="007D1E0B" w:rsidRPr="00B71A54" w:rsidRDefault="007D1E0B" w:rsidP="007D1E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A5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B71A54">
        <w:rPr>
          <w:rFonts w:ascii="Times New Roman" w:hAnsi="Times New Roman" w:cs="Times New Roman"/>
          <w:b/>
          <w:bCs/>
          <w:sz w:val="24"/>
          <w:szCs w:val="24"/>
        </w:rPr>
        <w:t>Paremie</w:t>
      </w:r>
      <w:proofErr w:type="spellEnd"/>
      <w:r w:rsidRPr="00B71A54">
        <w:rPr>
          <w:rFonts w:ascii="Times New Roman" w:hAnsi="Times New Roman" w:cs="Times New Roman"/>
          <w:b/>
          <w:bCs/>
          <w:sz w:val="24"/>
          <w:szCs w:val="24"/>
        </w:rPr>
        <w:t xml:space="preserve"> łacińskie</w:t>
      </w:r>
    </w:p>
    <w:p w14:paraId="2B67BBCD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5DFD1" w14:textId="098AFC3E" w:rsidR="00FB1A31" w:rsidRDefault="00FB1A31" w:rsidP="007D1E0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1A31">
        <w:rPr>
          <w:rFonts w:ascii="Times New Roman" w:hAnsi="Times New Roman" w:cs="Times New Roman"/>
          <w:i/>
          <w:iCs/>
          <w:sz w:val="24"/>
          <w:szCs w:val="24"/>
        </w:rPr>
        <w:t>Servitus</w:t>
      </w:r>
      <w:proofErr w:type="spellEnd"/>
      <w:r w:rsidRPr="00FB1A31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B1A31">
        <w:rPr>
          <w:rFonts w:ascii="Times New Roman" w:hAnsi="Times New Roman" w:cs="Times New Roman"/>
          <w:i/>
          <w:iCs/>
          <w:sz w:val="24"/>
          <w:szCs w:val="24"/>
        </w:rPr>
        <w:t>facienda</w:t>
      </w:r>
      <w:proofErr w:type="spellEnd"/>
      <w:r w:rsidRPr="00FB1A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1A31">
        <w:rPr>
          <w:rFonts w:ascii="Times New Roman" w:hAnsi="Times New Roman" w:cs="Times New Roman"/>
          <w:i/>
          <w:iCs/>
          <w:sz w:val="24"/>
          <w:szCs w:val="24"/>
        </w:rPr>
        <w:t>consistere</w:t>
      </w:r>
      <w:proofErr w:type="spellEnd"/>
      <w:r w:rsidRPr="00FB1A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1A31">
        <w:rPr>
          <w:rFonts w:ascii="Times New Roman" w:hAnsi="Times New Roman" w:cs="Times New Roman"/>
          <w:i/>
          <w:iCs/>
          <w:sz w:val="24"/>
          <w:szCs w:val="24"/>
        </w:rPr>
        <w:t>nequit</w:t>
      </w:r>
      <w:proofErr w:type="spellEnd"/>
      <w:r w:rsid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063E">
        <w:rPr>
          <w:rFonts w:ascii="Times New Roman" w:hAnsi="Times New Roman" w:cs="Times New Roman"/>
          <w:sz w:val="24"/>
          <w:szCs w:val="24"/>
        </w:rPr>
        <w:t>(D. 8, 1, 15, 1)</w:t>
      </w:r>
      <w:r w:rsidRPr="0063063E">
        <w:rPr>
          <w:rFonts w:ascii="Times New Roman" w:hAnsi="Times New Roman" w:cs="Times New Roman"/>
          <w:sz w:val="24"/>
          <w:szCs w:val="24"/>
        </w:rPr>
        <w:t xml:space="preserve"> – Służebność nie może polegać na działaniu.</w:t>
      </w:r>
    </w:p>
    <w:p w14:paraId="0311E254" w14:textId="3142BF7D" w:rsidR="0063063E" w:rsidRDefault="0063063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Servitus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servituti</w:t>
      </w:r>
      <w:r w:rsidR="00A32569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potest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(D. 33, 2, 1) – Nie może istnieć służebność na służebności.</w:t>
      </w:r>
    </w:p>
    <w:p w14:paraId="4385F13C" w14:textId="69376F4B" w:rsidR="0063063E" w:rsidRDefault="0063063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Servitibus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civiliter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utendum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(D. 8, 1, 9) – Służebności należy wykonywać oględnie.</w:t>
      </w:r>
    </w:p>
    <w:p w14:paraId="0EB57E9E" w14:textId="73EF3CE7" w:rsidR="0063063E" w:rsidRDefault="0063063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Nemini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res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sua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servit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(D. 8, 2, 26) – Nie można mieć służebności na własnej rzeczy.</w:t>
      </w:r>
    </w:p>
    <w:p w14:paraId="2B3E8AE8" w14:textId="72E92790" w:rsidR="007D1E0B" w:rsidRDefault="00FB1A31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A31">
        <w:rPr>
          <w:rFonts w:ascii="Times New Roman" w:hAnsi="Times New Roman" w:cs="Times New Roman"/>
          <w:i/>
          <w:iCs/>
          <w:sz w:val="24"/>
          <w:szCs w:val="24"/>
        </w:rPr>
        <w:t>Prior</w:t>
      </w:r>
      <w:proofErr w:type="spellEnd"/>
      <w:r w:rsidRPr="00FB1A31">
        <w:rPr>
          <w:rFonts w:ascii="Times New Roman" w:hAnsi="Times New Roman" w:cs="Times New Roman"/>
          <w:i/>
          <w:iCs/>
          <w:sz w:val="24"/>
          <w:szCs w:val="24"/>
        </w:rPr>
        <w:t xml:space="preserve"> tempore, </w:t>
      </w:r>
      <w:proofErr w:type="spellStart"/>
      <w:r w:rsidRPr="00FB1A31">
        <w:rPr>
          <w:rFonts w:ascii="Times New Roman" w:hAnsi="Times New Roman" w:cs="Times New Roman"/>
          <w:i/>
          <w:iCs/>
          <w:sz w:val="24"/>
          <w:szCs w:val="24"/>
        </w:rPr>
        <w:t>potior</w:t>
      </w:r>
      <w:proofErr w:type="spellEnd"/>
      <w:r w:rsidRPr="00FB1A31">
        <w:rPr>
          <w:rFonts w:ascii="Times New Roman" w:hAnsi="Times New Roman" w:cs="Times New Roman"/>
          <w:i/>
          <w:iCs/>
          <w:sz w:val="24"/>
          <w:szCs w:val="24"/>
        </w:rPr>
        <w:t xml:space="preserve"> iure</w:t>
      </w:r>
      <w:r w:rsidRPr="00FB1A31">
        <w:rPr>
          <w:rFonts w:ascii="Times New Roman" w:hAnsi="Times New Roman" w:cs="Times New Roman"/>
          <w:sz w:val="24"/>
          <w:szCs w:val="24"/>
        </w:rPr>
        <w:t xml:space="preserve"> (C.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A3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1A31">
        <w:rPr>
          <w:rFonts w:ascii="Times New Roman" w:hAnsi="Times New Roman" w:cs="Times New Roman"/>
          <w:sz w:val="24"/>
          <w:szCs w:val="24"/>
        </w:rPr>
        <w:t>3) – Pierwszy w czasie, lepszy w prawie.</w:t>
      </w:r>
    </w:p>
    <w:p w14:paraId="759FB971" w14:textId="43F093F1" w:rsidR="0063063E" w:rsidRPr="0063063E" w:rsidRDefault="0063063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Obligatio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iuris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vinculum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, quo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necessitate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adstringimur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alicuius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rei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solvendae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secundum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nostrae</w:t>
      </w:r>
      <w:proofErr w:type="spellEnd"/>
      <w:r w:rsidRPr="00630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063E">
        <w:rPr>
          <w:rFonts w:ascii="Times New Roman" w:hAnsi="Times New Roman" w:cs="Times New Roman"/>
          <w:i/>
          <w:iCs/>
          <w:sz w:val="24"/>
          <w:szCs w:val="24"/>
        </w:rPr>
        <w:t>civitatis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2569">
        <w:rPr>
          <w:rFonts w:ascii="Times New Roman" w:hAnsi="Times New Roman" w:cs="Times New Roman"/>
          <w:i/>
          <w:iCs/>
          <w:sz w:val="24"/>
          <w:szCs w:val="24"/>
        </w:rPr>
        <w:t>iura</w:t>
      </w:r>
      <w:proofErr w:type="spellEnd"/>
      <w:r w:rsidR="00A325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(I. 3, 13 pr.) – Zobowiązanie jest węzłem prawnym, który zmusza nas do świadczenia czegoś zgodnie z prawami naszego państwa.</w:t>
      </w:r>
    </w:p>
    <w:p w14:paraId="1963A35A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E6899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Student ma obowiązek pamięciowo opanować brzmienie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paremii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w języku łacińskim.</w:t>
      </w:r>
    </w:p>
    <w:p w14:paraId="727F7232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CE658" w14:textId="77777777" w:rsidR="007D1E0B" w:rsidRPr="00B71A54" w:rsidRDefault="007D1E0B" w:rsidP="007D1E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A54">
        <w:rPr>
          <w:rFonts w:ascii="Times New Roman" w:hAnsi="Times New Roman" w:cs="Times New Roman"/>
          <w:b/>
          <w:bCs/>
          <w:sz w:val="24"/>
          <w:szCs w:val="24"/>
        </w:rPr>
        <w:t>IV. Literatura dodatkowa:</w:t>
      </w:r>
    </w:p>
    <w:p w14:paraId="072D9351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939A1" w14:textId="397BFBEA" w:rsidR="007D1E0B" w:rsidRPr="007D1E0B" w:rsidRDefault="000350A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Benincasa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Z., </w:t>
      </w:r>
      <w:r w:rsidRPr="000350AE">
        <w:rPr>
          <w:rFonts w:ascii="Times New Roman" w:hAnsi="Times New Roman" w:cs="Times New Roman"/>
          <w:sz w:val="24"/>
          <w:szCs w:val="24"/>
        </w:rPr>
        <w:t>Polowanie na dzikie zwierzęta jako jeden ze sposobów wykonywania służebności użytkowania w prawie rzymskim</w:t>
      </w:r>
      <w:r w:rsidR="007D1E0B" w:rsidRPr="007D1E0B">
        <w:rPr>
          <w:rFonts w:ascii="Times New Roman" w:hAnsi="Times New Roman" w:cs="Times New Roman"/>
          <w:sz w:val="24"/>
          <w:szCs w:val="24"/>
        </w:rPr>
        <w:t>, „</w:t>
      </w:r>
      <w:r w:rsidRPr="000350AE">
        <w:rPr>
          <w:rFonts w:ascii="Times New Roman" w:hAnsi="Times New Roman" w:cs="Times New Roman"/>
          <w:sz w:val="24"/>
          <w:szCs w:val="24"/>
        </w:rPr>
        <w:t>Studia i Materiały Ośrodka Kultury Leśne</w:t>
      </w:r>
      <w:r w:rsidR="007D1E0B" w:rsidRPr="007D1E0B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D1E0B" w:rsidRPr="007D1E0B">
        <w:rPr>
          <w:rFonts w:ascii="Times New Roman" w:hAnsi="Times New Roman" w:cs="Times New Roman"/>
          <w:sz w:val="24"/>
          <w:szCs w:val="24"/>
        </w:rPr>
        <w:t xml:space="preserve"> (2016), s. </w:t>
      </w:r>
      <w:r>
        <w:rPr>
          <w:rFonts w:ascii="Times New Roman" w:hAnsi="Times New Roman" w:cs="Times New Roman"/>
          <w:sz w:val="24"/>
          <w:szCs w:val="24"/>
        </w:rPr>
        <w:t>9-29,</w:t>
      </w:r>
      <w:r w:rsidR="007D1E0B" w:rsidRPr="007D1E0B">
        <w:rPr>
          <w:rFonts w:ascii="Times New Roman" w:hAnsi="Times New Roman" w:cs="Times New Roman"/>
          <w:sz w:val="24"/>
          <w:szCs w:val="24"/>
        </w:rPr>
        <w:t xml:space="preserve"> </w:t>
      </w:r>
      <w:r w:rsidRPr="000350AE">
        <w:rPr>
          <w:rFonts w:ascii="Times New Roman" w:hAnsi="Times New Roman" w:cs="Times New Roman"/>
          <w:sz w:val="24"/>
          <w:szCs w:val="24"/>
        </w:rPr>
        <w:t>http://www.studia.okl.lasy.gov.pl/documents/1004479/31209153/okl+15+Benincasa.pdf/440d9659-de29-4c2d-ab19-2c27301f3182</w:t>
      </w:r>
    </w:p>
    <w:p w14:paraId="17A4BFF7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51E8E" w14:textId="5D3ACED8" w:rsidR="007D1E0B" w:rsidRPr="007D1E0B" w:rsidRDefault="000350A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Bojarski, W., </w:t>
      </w:r>
      <w:r w:rsidRPr="000350AE">
        <w:rPr>
          <w:rFonts w:ascii="Times New Roman" w:hAnsi="Times New Roman" w:cs="Times New Roman"/>
          <w:sz w:val="24"/>
          <w:szCs w:val="24"/>
        </w:rPr>
        <w:t>Unifikacja praw dzierżaw wieczystych w prawie rzymskim</w:t>
      </w:r>
      <w:r w:rsidR="007D1E0B" w:rsidRPr="007D1E0B">
        <w:rPr>
          <w:rFonts w:ascii="Times New Roman" w:hAnsi="Times New Roman" w:cs="Times New Roman"/>
          <w:sz w:val="24"/>
          <w:szCs w:val="24"/>
        </w:rPr>
        <w:t>, „</w:t>
      </w:r>
      <w:r>
        <w:rPr>
          <w:rFonts w:ascii="Times New Roman" w:hAnsi="Times New Roman" w:cs="Times New Roman"/>
          <w:sz w:val="24"/>
          <w:szCs w:val="24"/>
        </w:rPr>
        <w:t>Prawo kanoniczne</w:t>
      </w:r>
      <w:r w:rsidR="007D1E0B" w:rsidRPr="007D1E0B">
        <w:rPr>
          <w:rFonts w:ascii="Times New Roman" w:hAnsi="Times New Roman" w:cs="Times New Roman"/>
          <w:sz w:val="24"/>
          <w:szCs w:val="24"/>
        </w:rPr>
        <w:t>” 3</w:t>
      </w:r>
      <w:r>
        <w:rPr>
          <w:rFonts w:ascii="Times New Roman" w:hAnsi="Times New Roman" w:cs="Times New Roman"/>
          <w:sz w:val="24"/>
          <w:szCs w:val="24"/>
        </w:rPr>
        <w:t>7</w:t>
      </w:r>
      <w:r w:rsidR="007D1E0B" w:rsidRPr="007D1E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3-4</w:t>
      </w:r>
      <w:r w:rsidR="007D1E0B" w:rsidRPr="007D1E0B">
        <w:rPr>
          <w:rFonts w:ascii="Times New Roman" w:hAnsi="Times New Roman" w:cs="Times New Roman"/>
          <w:sz w:val="24"/>
          <w:szCs w:val="24"/>
        </w:rPr>
        <w:t xml:space="preserve"> (19</w:t>
      </w:r>
      <w:r>
        <w:rPr>
          <w:rFonts w:ascii="Times New Roman" w:hAnsi="Times New Roman" w:cs="Times New Roman"/>
          <w:sz w:val="24"/>
          <w:szCs w:val="24"/>
        </w:rPr>
        <w:t>9</w:t>
      </w:r>
      <w:r w:rsidR="007D1E0B" w:rsidRPr="007D1E0B">
        <w:rPr>
          <w:rFonts w:ascii="Times New Roman" w:hAnsi="Times New Roman" w:cs="Times New Roman"/>
          <w:sz w:val="24"/>
          <w:szCs w:val="24"/>
        </w:rPr>
        <w:t>4), s. 1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D1E0B" w:rsidRPr="007D1E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131</w:t>
      </w:r>
    </w:p>
    <w:p w14:paraId="320E3F26" w14:textId="4EAFD413" w:rsidR="007D1E0B" w:rsidRPr="000350AE" w:rsidRDefault="00CD65C9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350AE" w:rsidRPr="000350A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https://cejsh.icm.edu.pl/cejsh/element/bwmeta1.element.ojs-doi-10_21697_pk_1994_37_3-4_08/c/4788-4339.pdf</w:t>
        </w:r>
      </w:hyperlink>
    </w:p>
    <w:p w14:paraId="54866FE0" w14:textId="4A67AE6D" w:rsidR="000350AE" w:rsidRDefault="000350A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95265" w14:textId="697D58A2" w:rsidR="007D1E0B" w:rsidRDefault="000350A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Dyjakowska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M.,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Superficies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– rzymskie korzenie prawa zabudowy, „Zeszyty Prawniczek [UKSW] 15.1 (2015), s. 5-32, </w:t>
      </w:r>
      <w:r w:rsidRPr="000350AE">
        <w:rPr>
          <w:rFonts w:ascii="Times New Roman" w:hAnsi="Times New Roman" w:cs="Times New Roman"/>
          <w:sz w:val="24"/>
          <w:szCs w:val="24"/>
        </w:rPr>
        <w:t>https://cejsh.icm.edu.pl/cejsh/element/bwmeta1.element.ojs-doi-10_21697_zp_2015_15_1_01/c/699-735.pdf</w:t>
      </w:r>
    </w:p>
    <w:p w14:paraId="71D9B1C6" w14:textId="77777777" w:rsidR="000350AE" w:rsidRPr="007D1E0B" w:rsidRDefault="000350A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AD25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EDC4B" w14:textId="77777777" w:rsidR="007D1E0B" w:rsidRPr="00B71A54" w:rsidRDefault="007D1E0B" w:rsidP="007D1E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A54">
        <w:rPr>
          <w:rFonts w:ascii="Times New Roman" w:hAnsi="Times New Roman" w:cs="Times New Roman"/>
          <w:b/>
          <w:bCs/>
          <w:sz w:val="24"/>
          <w:szCs w:val="24"/>
        </w:rPr>
        <w:t xml:space="preserve">V. Interpretacje tekstu źródłowego: </w:t>
      </w:r>
    </w:p>
    <w:p w14:paraId="6E360807" w14:textId="77777777" w:rsidR="007D1E0B" w:rsidRPr="00B71A54" w:rsidRDefault="007D1E0B" w:rsidP="007D1E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969360" w14:textId="29F7EBBA" w:rsidR="001A331E" w:rsidRPr="001A331E" w:rsidRDefault="001A331E" w:rsidP="001A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1E">
        <w:rPr>
          <w:rFonts w:ascii="Times New Roman" w:hAnsi="Times New Roman" w:cs="Times New Roman"/>
          <w:sz w:val="24"/>
          <w:szCs w:val="24"/>
        </w:rPr>
        <w:t>D.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3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3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3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Ulpianus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septimo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decimo ad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Sabinum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Mulieri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autem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si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usus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relictus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sit, posse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eam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cum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marito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habitare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quintus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mucius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primus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admisit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ne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ei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matrimonio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carendum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foret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cum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uti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vult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domo. Nam per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contrarium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quin uxor cum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marito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possit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habitare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nec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fuit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dubitatum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Quid ergo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si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viduae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legatus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sit, </w:t>
      </w:r>
      <w:proofErr w:type="gram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an</w:t>
      </w:r>
      <w:proofErr w:type="gram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nuptiis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contractis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post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constitutum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usum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mulier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habitare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cum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marito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possit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? Et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est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verum,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ut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Pomponius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quinto et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Papinianus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libro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nono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decimo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quaestionum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probat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posse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eam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cum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viro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postea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nubentem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>habitare</w:t>
      </w:r>
      <w:proofErr w:type="spellEnd"/>
      <w:r w:rsidRPr="003E14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0350AE">
        <w:rPr>
          <w:rFonts w:ascii="Times New Roman" w:hAnsi="Times New Roman" w:cs="Times New Roman"/>
          <w:i/>
          <w:iCs/>
          <w:sz w:val="24"/>
          <w:szCs w:val="24"/>
        </w:rPr>
        <w:t xml:space="preserve">Hoc </w:t>
      </w:r>
      <w:proofErr w:type="spellStart"/>
      <w:r w:rsidRPr="000350AE">
        <w:rPr>
          <w:rFonts w:ascii="Times New Roman" w:hAnsi="Times New Roman" w:cs="Times New Roman"/>
          <w:i/>
          <w:iCs/>
          <w:sz w:val="24"/>
          <w:szCs w:val="24"/>
        </w:rPr>
        <w:t>amplius</w:t>
      </w:r>
      <w:proofErr w:type="spellEnd"/>
      <w:r w:rsidRPr="00035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50AE">
        <w:rPr>
          <w:rFonts w:ascii="Times New Roman" w:hAnsi="Times New Roman" w:cs="Times New Roman"/>
          <w:i/>
          <w:iCs/>
          <w:sz w:val="24"/>
          <w:szCs w:val="24"/>
        </w:rPr>
        <w:t>Pomponius</w:t>
      </w:r>
      <w:proofErr w:type="spellEnd"/>
      <w:r w:rsidRPr="00035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50AE">
        <w:rPr>
          <w:rFonts w:ascii="Times New Roman" w:hAnsi="Times New Roman" w:cs="Times New Roman"/>
          <w:i/>
          <w:iCs/>
          <w:sz w:val="24"/>
          <w:szCs w:val="24"/>
        </w:rPr>
        <w:t>ait</w:t>
      </w:r>
      <w:proofErr w:type="spellEnd"/>
      <w:r w:rsidRPr="000350AE">
        <w:rPr>
          <w:rFonts w:ascii="Times New Roman" w:hAnsi="Times New Roman" w:cs="Times New Roman"/>
          <w:i/>
          <w:iCs/>
          <w:sz w:val="24"/>
          <w:szCs w:val="24"/>
        </w:rPr>
        <w:t xml:space="preserve"> et cum </w:t>
      </w:r>
      <w:proofErr w:type="spellStart"/>
      <w:r w:rsidRPr="000350AE">
        <w:rPr>
          <w:rFonts w:ascii="Times New Roman" w:hAnsi="Times New Roman" w:cs="Times New Roman"/>
          <w:i/>
          <w:iCs/>
          <w:sz w:val="24"/>
          <w:szCs w:val="24"/>
        </w:rPr>
        <w:t>socero</w:t>
      </w:r>
      <w:proofErr w:type="spellEnd"/>
      <w:r w:rsidRPr="00035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350AE">
        <w:rPr>
          <w:rFonts w:ascii="Times New Roman" w:hAnsi="Times New Roman" w:cs="Times New Roman"/>
          <w:i/>
          <w:iCs/>
          <w:sz w:val="24"/>
          <w:szCs w:val="24"/>
        </w:rPr>
        <w:t>habitaturam</w:t>
      </w:r>
      <w:proofErr w:type="spellEnd"/>
      <w:r w:rsidRPr="000350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A3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75759" w14:textId="77777777" w:rsidR="001A331E" w:rsidRDefault="001A331E" w:rsidP="001A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23404" w14:textId="271AFBB7" w:rsidR="007D1E0B" w:rsidRPr="007D1E0B" w:rsidRDefault="001A331E" w:rsidP="001A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31E">
        <w:rPr>
          <w:rFonts w:ascii="Times New Roman" w:hAnsi="Times New Roman" w:cs="Times New Roman"/>
          <w:sz w:val="24"/>
          <w:szCs w:val="24"/>
        </w:rPr>
        <w:t>Ulpian</w:t>
      </w:r>
      <w:proofErr w:type="spellEnd"/>
      <w:r w:rsidRPr="001A331E">
        <w:rPr>
          <w:rFonts w:ascii="Times New Roman" w:hAnsi="Times New Roman" w:cs="Times New Roman"/>
          <w:sz w:val="24"/>
          <w:szCs w:val="24"/>
        </w:rPr>
        <w:t xml:space="preserve">, księga siedemnasta komentarz do dzieł </w:t>
      </w:r>
      <w:proofErr w:type="spellStart"/>
      <w:r w:rsidRPr="001A331E">
        <w:rPr>
          <w:rFonts w:ascii="Times New Roman" w:hAnsi="Times New Roman" w:cs="Times New Roman"/>
          <w:sz w:val="24"/>
          <w:szCs w:val="24"/>
        </w:rPr>
        <w:t>Sabinusa</w:t>
      </w:r>
      <w:proofErr w:type="spellEnd"/>
      <w:r w:rsidRPr="001A331E">
        <w:rPr>
          <w:rFonts w:ascii="Times New Roman" w:hAnsi="Times New Roman" w:cs="Times New Roman"/>
          <w:sz w:val="24"/>
          <w:szCs w:val="24"/>
        </w:rPr>
        <w:t xml:space="preserve">. Jeżeli zaś kobiecie zostało pozostawione używanie, to Quintus </w:t>
      </w:r>
      <w:proofErr w:type="spellStart"/>
      <w:r w:rsidRPr="001A331E">
        <w:rPr>
          <w:rFonts w:ascii="Times New Roman" w:hAnsi="Times New Roman" w:cs="Times New Roman"/>
          <w:sz w:val="24"/>
          <w:szCs w:val="24"/>
        </w:rPr>
        <w:t>Mucius</w:t>
      </w:r>
      <w:proofErr w:type="spellEnd"/>
      <w:r w:rsidRPr="001A331E">
        <w:rPr>
          <w:rFonts w:ascii="Times New Roman" w:hAnsi="Times New Roman" w:cs="Times New Roman"/>
          <w:sz w:val="24"/>
          <w:szCs w:val="24"/>
        </w:rPr>
        <w:t xml:space="preserve"> pierwszy dopuścił, że może ona mieszkać również z mężem, by chcąc korzystać z domu nie powstrzymywała się przed małżeństwem. Nie podnoszono co do tego wątpliwości, że żona może mieszkać z mężem. A jak przedstawia się sprawa, gdy zostało [ono] zapisane wdowie? Czy gdy zawarła małżeństwo po ustanowieniu używania, może kobieta mieszkać z mężem? I to jest prawdą, jak i </w:t>
      </w:r>
      <w:proofErr w:type="spellStart"/>
      <w:r w:rsidRPr="001A331E">
        <w:rPr>
          <w:rFonts w:ascii="Times New Roman" w:hAnsi="Times New Roman" w:cs="Times New Roman"/>
          <w:sz w:val="24"/>
          <w:szCs w:val="24"/>
        </w:rPr>
        <w:t>Pomponius</w:t>
      </w:r>
      <w:proofErr w:type="spellEnd"/>
      <w:r w:rsidRPr="001A331E">
        <w:rPr>
          <w:rFonts w:ascii="Times New Roman" w:hAnsi="Times New Roman" w:cs="Times New Roman"/>
          <w:sz w:val="24"/>
          <w:szCs w:val="24"/>
        </w:rPr>
        <w:t xml:space="preserve"> w piątej księdze i </w:t>
      </w:r>
      <w:proofErr w:type="spellStart"/>
      <w:r w:rsidRPr="001A331E">
        <w:rPr>
          <w:rFonts w:ascii="Times New Roman" w:hAnsi="Times New Roman" w:cs="Times New Roman"/>
          <w:sz w:val="24"/>
          <w:szCs w:val="24"/>
        </w:rPr>
        <w:t>Papinian</w:t>
      </w:r>
      <w:proofErr w:type="spellEnd"/>
      <w:r w:rsidRPr="001A331E">
        <w:rPr>
          <w:rFonts w:ascii="Times New Roman" w:hAnsi="Times New Roman" w:cs="Times New Roman"/>
          <w:sz w:val="24"/>
          <w:szCs w:val="24"/>
        </w:rPr>
        <w:t xml:space="preserve"> w księdze dziewiętnastej </w:t>
      </w:r>
      <w:proofErr w:type="spellStart"/>
      <w:r w:rsidRPr="00EE248C">
        <w:rPr>
          <w:rFonts w:ascii="Times New Roman" w:hAnsi="Times New Roman" w:cs="Times New Roman"/>
          <w:i/>
          <w:iCs/>
          <w:sz w:val="24"/>
          <w:szCs w:val="24"/>
        </w:rPr>
        <w:t>quaestiones</w:t>
      </w:r>
      <w:proofErr w:type="spellEnd"/>
      <w:r w:rsidRPr="001A331E">
        <w:rPr>
          <w:rFonts w:ascii="Times New Roman" w:hAnsi="Times New Roman" w:cs="Times New Roman"/>
          <w:sz w:val="24"/>
          <w:szCs w:val="24"/>
        </w:rPr>
        <w:t xml:space="preserve"> dowodzą, że ona może po zawarciu </w:t>
      </w:r>
      <w:r w:rsidRPr="001A331E">
        <w:rPr>
          <w:rFonts w:ascii="Times New Roman" w:hAnsi="Times New Roman" w:cs="Times New Roman"/>
          <w:sz w:val="24"/>
          <w:szCs w:val="24"/>
        </w:rPr>
        <w:lastRenderedPageBreak/>
        <w:t xml:space="preserve">małżeństwa mieszkać z mężem. Rozszerzając to </w:t>
      </w:r>
      <w:proofErr w:type="spellStart"/>
      <w:r w:rsidRPr="001A331E">
        <w:rPr>
          <w:rFonts w:ascii="Times New Roman" w:hAnsi="Times New Roman" w:cs="Times New Roman"/>
          <w:sz w:val="24"/>
          <w:szCs w:val="24"/>
        </w:rPr>
        <w:t>Pomponius</w:t>
      </w:r>
      <w:proofErr w:type="spellEnd"/>
      <w:r w:rsidRPr="001A331E">
        <w:rPr>
          <w:rFonts w:ascii="Times New Roman" w:hAnsi="Times New Roman" w:cs="Times New Roman"/>
          <w:sz w:val="24"/>
          <w:szCs w:val="24"/>
        </w:rPr>
        <w:t xml:space="preserve"> twierdzi, że może ona mieszkać również z teściem.</w:t>
      </w:r>
      <w:r w:rsidR="007D1E0B"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5BFFD" w14:textId="77777777" w:rsidR="001A331E" w:rsidRDefault="001A331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4324" w14:textId="2413E4CA" w:rsidR="007D1E0B" w:rsidRPr="007D1E0B" w:rsidRDefault="007D1E0B" w:rsidP="001A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6517F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Schemat interpretacji tekstu źródłowego</w:t>
      </w:r>
    </w:p>
    <w:p w14:paraId="64E16E5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4084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Do interpretacji tekstu niezbędne są materiały pomocnicze zamieszczone na stronie internetowej Zakładu Prawa Rzymskiego.</w:t>
      </w:r>
    </w:p>
    <w:p w14:paraId="2DCF715A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C5B72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Interpretacji tekstu źródłowego dokonujemy w oparciu o przedstawiony niżej schemat. Schemat odnosi się do kontekstu źródłowego oraz elementów ważnych w pracy prawnika: ustalenie stanu faktycznego, ustalenie stanu prawnego, ważenie interesów i wartości, rozstrzygnięcie oraz jego uzasadnienie.</w:t>
      </w:r>
    </w:p>
    <w:p w14:paraId="488CDE69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D2C3F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Uwaga! Przy interpretacji tekstu na obecnych zajęciach, ze względu na jego charakter i początek pracy studenta nad tekstem, zwracamy uwagę na pierwszy element schematu, czyli na kontekst źródłowy tekstu.</w:t>
      </w:r>
    </w:p>
    <w:p w14:paraId="48D75F60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2D4B3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1) Kontekst źródłowy. Określenie miejsca tekstu w dyskusji prawników rzymskich (miejsce w tekście źródłowym oraz informacja podana w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inscriptio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plus informacje o jurystach – niekiedy informacje w tekście).</w:t>
      </w:r>
    </w:p>
    <w:p w14:paraId="15567CF2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3FFF2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2) Rekonstrukcja omawianego w tekście stanu faktycznego (rzeczywisty lub hipotetyczny stan faktyczny).</w:t>
      </w:r>
    </w:p>
    <w:p w14:paraId="5E7EAAF3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1036B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3) Wskazanie problemu prawnego będącego przedmiotem oceny (kwestia niejasna, dyskusyjna).</w:t>
      </w:r>
    </w:p>
    <w:p w14:paraId="569D033A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19C5D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4) Nazwanie zasad rozstrzygnięcia (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rationes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decidendi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>) przyjętych przez jurystów oraz ich ocena plus znaczenie oraz wykorzystanie w tradycji romanistycznej.</w:t>
      </w:r>
    </w:p>
    <w:p w14:paraId="4D2882E3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215E8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Ad. 1 Kontekst źródłowy - polega na podaniu podstawowych informacji o Digestach justyniańskich (skrót D. od Digesta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Iustiniani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>) z 533 r. w tym także w kontekście znaczenia tego dzieła w historii prawa. Należy wskazać dane dotyczące jurysty, który widnieje jako autor cytowanego fragmentu. Jeżeli w tekście przywoływane są opinie innych jurystów, należy przedstawić podstawowe informacje dotyczące ich życia i działalności prawniczej. Ponadto należy wyprowadzić wnioski wynikające z miejsca zamieszczenia tekstu w Digestach justyniańskich (każdy akt prawny ma swoją systematykę; Digesta justyniańskie dzielą się na księgi, te z kolei na tytuły, fragmenty i paragrafy). Podać należy informacje dotyczące oryginalnego źródła, z którego fragment został zaczerpnięty (Digesta justyniańskie zawierają fragmenty dzieł prawników rzymskich powstałych w okresie od I w. p.n.e. do III w. n.e.). Po podaniu tych elementów, dokonujemy analizy treści danego fragmentu.</w:t>
      </w:r>
    </w:p>
    <w:p w14:paraId="6A7F3E25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FFB9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Interesują nas warunki w jakich tekst powstał, </w:t>
      </w:r>
      <w:proofErr w:type="gramStart"/>
      <w:r w:rsidRPr="007D1E0B">
        <w:rPr>
          <w:rFonts w:ascii="Times New Roman" w:hAnsi="Times New Roman" w:cs="Times New Roman"/>
          <w:sz w:val="24"/>
          <w:szCs w:val="24"/>
        </w:rPr>
        <w:t>tj.</w:t>
      </w:r>
      <w:proofErr w:type="gramEnd"/>
      <w:r w:rsidRPr="007D1E0B">
        <w:rPr>
          <w:rFonts w:ascii="Times New Roman" w:hAnsi="Times New Roman" w:cs="Times New Roman"/>
          <w:sz w:val="24"/>
          <w:szCs w:val="24"/>
        </w:rPr>
        <w:t xml:space="preserve"> kiedy; w jakich warunkach społecznych, ekonomicznych, kulturowych, wpływ czynników zewnętrznych na jurystów, np. wpływ nauki greckiej: retoryki, gramatyki, filozofii.</w:t>
      </w:r>
    </w:p>
    <w:p w14:paraId="7EE49EA2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69C92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Wskazówką są informacje o jurystach, kiedy </w:t>
      </w:r>
      <w:proofErr w:type="gramStart"/>
      <w:r w:rsidRPr="007D1E0B">
        <w:rPr>
          <w:rFonts w:ascii="Times New Roman" w:hAnsi="Times New Roman" w:cs="Times New Roman"/>
          <w:sz w:val="24"/>
          <w:szCs w:val="24"/>
        </w:rPr>
        <w:t>żyli,</w:t>
      </w:r>
      <w:proofErr w:type="gramEnd"/>
      <w:r w:rsidRPr="007D1E0B">
        <w:rPr>
          <w:rFonts w:ascii="Times New Roman" w:hAnsi="Times New Roman" w:cs="Times New Roman"/>
          <w:sz w:val="24"/>
          <w:szCs w:val="24"/>
        </w:rPr>
        <w:t xml:space="preserve"> czy należeli do „szkoły”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Sabinianów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Prokulianów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, czy to jest wypowiedź jurysty odnosząca się do tekstu ustawy, uchwały senatu, edyktu pretorskiego? – pytanie o prawotwórczy charakter opinii i jej relację do źródła prawa; </w:t>
      </w:r>
      <w:r w:rsidRPr="007D1E0B">
        <w:rPr>
          <w:rFonts w:ascii="Times New Roman" w:hAnsi="Times New Roman" w:cs="Times New Roman"/>
          <w:sz w:val="24"/>
          <w:szCs w:val="24"/>
        </w:rPr>
        <w:lastRenderedPageBreak/>
        <w:t xml:space="preserve">czy jurysta wyposażony był w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publicae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respondendi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>. Jeśli w tekście przywołane są opinie innych jurystów, czy są odmienne, czy jurysta „przystępuje” do opinii starszego kolegi? Jeśli są odmienne, to dlaczego, czy możemy ten odmienny pogląd uznać za ciekawy/przekonujący?</w:t>
      </w:r>
    </w:p>
    <w:p w14:paraId="49D16049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7A2CC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Ad. 2 Opinię prawną sporządzamy w stosunku do ustalonego stanu faktycznego. Ustaleń stanu faktycznego dokonuje się w wyniku analizy dostępnego materiału dowodowego.</w:t>
      </w:r>
    </w:p>
    <w:p w14:paraId="22DD0A28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B7428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Chodzi o kwestię faktów (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quaestio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facti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>): co się wydarzyło, np. niewolnik wszedł na plac ćwiczeń i został ugodzony oszczepem. Albo: pewien Rzymianin przekazał buty do naprawy szewcowi za wynagrodzeniem. Buty zostały skradzione z warsztatu szewca.</w:t>
      </w:r>
    </w:p>
    <w:p w14:paraId="4203D94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456B6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Można spróbować, jeśli będzie to pomocne, zrekonstruować szerszy stan faktyczny.</w:t>
      </w:r>
    </w:p>
    <w:p w14:paraId="296F41A3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5C290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Błędne w tej części jest wyjście poza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quaestio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facti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>. Można jedynie dodać, że nie wiemy, czy wydarzyło się to lub tamto; w tej części unikamy ocen prawnych.</w:t>
      </w:r>
    </w:p>
    <w:p w14:paraId="2575D892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20CB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Ad. 3 W tej części odnosimy się do kwestii prawnych.</w:t>
      </w:r>
    </w:p>
    <w:p w14:paraId="2AAF953D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D1230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Można opisać wskazane instytucje prawne, których kazus dotyczy, zrelacjonować poglądy jurystów (także spoza kazusu), by rzucić nieco więcej światła na omawianą problematykę.</w:t>
      </w:r>
    </w:p>
    <w:p w14:paraId="03AF8ACA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C2893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Następnie opisujemy sposób narracji i rozumowania prawnika oraz podajemy rozstrzygnięcie kwestii spornej, które znajduje się w tekście.</w:t>
      </w:r>
    </w:p>
    <w:p w14:paraId="505D43ED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3C19A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Jeśli mamy kilka opinii, dobrze jest zatrzymać się nad każdą z nich i szukać argumentów na rzecz danego stanowiska.</w:t>
      </w:r>
    </w:p>
    <w:p w14:paraId="1C270278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6810D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Ad. 4 Ratio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decidendi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>, czyli wskazanie na motywy rozstrzygnięcia, rozumiane jako odwołanie się do zasad prawnych.</w:t>
      </w:r>
    </w:p>
    <w:p w14:paraId="6BE17FD3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1B305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Uwaga! Wiele decyzji rzymskich jurystów nie zawierało motywów czy uzasadnień.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Rationes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mogą stanowić: zastosowanie normy prawnej, zastosowanie reguły logicznej lub językowej, autorytet opinii dawnego (wcześniejszego) jurysty (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argumenta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auctoritate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>), przywołanie zgodnego poglądu wcześniej żyjących jurystów, motyw znaleziony w regule prawnej (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iuris), konstrukcji prawnej, pojęciu prawnym, pospolitym zwyczaju językowym, woli stron lub strony czynności prawnej (np. testamentu), pogląd filozoficzny, analogia, podobny przypadek - zazwyczaj prostszy, niż rozstrzygana sprawa,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deductio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ad absurdum (sprowadzenie innego możliwego rozstrzygnięcia do absurdu).</w:t>
      </w:r>
    </w:p>
    <w:p w14:paraId="076D99EA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66A58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Odniesienie się do zasad będzie tzw. „otwartą argumentacją” w odróżnieniu do argumentu z normy prawnej (np. ustawy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akwiliańskiej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). Dobrze jest wskazać tu na metodę kazuistyczną jurystów rzymskich oraz na znaczenie reguł prawnych i spostrzeżenie Paulusa: nie prawo wynika z reguły, lecz z istniejącego prawa powstaje reguła (non ex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summatur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ex iure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0B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7D1E0B">
        <w:rPr>
          <w:rFonts w:ascii="Times New Roman" w:hAnsi="Times New Roman" w:cs="Times New Roman"/>
          <w:sz w:val="24"/>
          <w:szCs w:val="24"/>
        </w:rPr>
        <w:t xml:space="preserve"> fiat).</w:t>
      </w:r>
    </w:p>
    <w:p w14:paraId="7B1A7E9E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86CA2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Oceniane jest pogłębienie zagadnienia: nie wystarczy np. wskazać na wolę testatora jako przyczynę decyzji, ale należy </w:t>
      </w:r>
      <w:proofErr w:type="gramStart"/>
      <w:r w:rsidRPr="007D1E0B">
        <w:rPr>
          <w:rFonts w:ascii="Times New Roman" w:hAnsi="Times New Roman" w:cs="Times New Roman"/>
          <w:sz w:val="24"/>
          <w:szCs w:val="24"/>
        </w:rPr>
        <w:t>zapytać</w:t>
      </w:r>
      <w:proofErr w:type="gramEnd"/>
      <w:r w:rsidRPr="007D1E0B">
        <w:rPr>
          <w:rFonts w:ascii="Times New Roman" w:hAnsi="Times New Roman" w:cs="Times New Roman"/>
          <w:sz w:val="24"/>
          <w:szCs w:val="24"/>
        </w:rPr>
        <w:t xml:space="preserve"> dlaczego ona jest ważna dla rozstrzygnięcia.</w:t>
      </w:r>
    </w:p>
    <w:p w14:paraId="20EC58CC" w14:textId="0587DBA2" w:rsid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198D6" w14:textId="0051326C" w:rsidR="001A331E" w:rsidRDefault="001A331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F6437" w14:textId="77777777" w:rsidR="001A331E" w:rsidRPr="001A331E" w:rsidRDefault="001A331E" w:rsidP="001A331E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A331E">
        <w:rPr>
          <w:rFonts w:ascii="Times New Roman" w:hAnsi="Times New Roman" w:cs="Times New Roman"/>
          <w:b/>
          <w:bCs/>
          <w:sz w:val="24"/>
          <w:szCs w:val="24"/>
        </w:rPr>
        <w:t>VI. Symulacja rozprawy</w:t>
      </w:r>
    </w:p>
    <w:p w14:paraId="5F91C892" w14:textId="2A3CD148" w:rsidR="001A331E" w:rsidRDefault="001A331E" w:rsidP="001A331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331E">
        <w:rPr>
          <w:rFonts w:ascii="Times New Roman" w:hAnsi="Times New Roman" w:cs="Times New Roman"/>
          <w:sz w:val="24"/>
          <w:szCs w:val="24"/>
        </w:rPr>
        <w:lastRenderedPageBreak/>
        <w:t>Wyznaczeni przez prowadzącego studenci, pracując w zespołach przygotowują i prezentują stanowiska stron sporu (powoda i pozwanego). Trzeci zespół (3 osobowy) pełni rolę kolegium sędziowskiego, które przygotowuje rozstrzygnięcie. Podczas ćwiczeń pozostali uczestnicy dołączają do kolegium sędziowskiego, mogą zadawać stronom pytania i uczestniczyć w naradzie sędziowskiej.</w:t>
      </w:r>
    </w:p>
    <w:p w14:paraId="5CC595C3" w14:textId="77777777" w:rsidR="008F4622" w:rsidRDefault="008F4622" w:rsidP="001A331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A357DF6" w14:textId="5BEBE21C" w:rsidR="001A331E" w:rsidRDefault="008F4622" w:rsidP="001A331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 II wiek n.e.</w:t>
      </w:r>
    </w:p>
    <w:p w14:paraId="034E3839" w14:textId="2667FBD6" w:rsidR="00E33AC2" w:rsidRDefault="00E33AC2" w:rsidP="001A331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Rzym</w:t>
      </w:r>
    </w:p>
    <w:p w14:paraId="1BC32DCB" w14:textId="13358CE3" w:rsidR="001A331E" w:rsidRDefault="001A331E" w:rsidP="001A331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ustanowienia</w:t>
      </w:r>
      <w:r w:rsidR="008F4622">
        <w:rPr>
          <w:rFonts w:ascii="Times New Roman" w:hAnsi="Times New Roman" w:cs="Times New Roman"/>
          <w:sz w:val="24"/>
          <w:szCs w:val="24"/>
        </w:rPr>
        <w:t xml:space="preserve"> hipoteki</w:t>
      </w:r>
      <w:r>
        <w:rPr>
          <w:rFonts w:ascii="Times New Roman" w:hAnsi="Times New Roman" w:cs="Times New Roman"/>
          <w:sz w:val="24"/>
          <w:szCs w:val="24"/>
        </w:rPr>
        <w:t xml:space="preserve"> na domu czynszowym (</w:t>
      </w:r>
      <w:r w:rsidRPr="001A331E">
        <w:rPr>
          <w:rFonts w:ascii="Times New Roman" w:hAnsi="Times New Roman" w:cs="Times New Roman"/>
          <w:i/>
          <w:iCs/>
          <w:sz w:val="24"/>
          <w:szCs w:val="24"/>
        </w:rPr>
        <w:t>insula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A331E">
        <w:rPr>
          <w:rFonts w:ascii="Times New Roman" w:hAnsi="Times New Roman" w:cs="Times New Roman"/>
          <w:sz w:val="24"/>
          <w:szCs w:val="24"/>
        </w:rPr>
        <w:t>wierzyciel</w:t>
      </w:r>
      <w:r>
        <w:rPr>
          <w:rFonts w:ascii="Times New Roman" w:hAnsi="Times New Roman" w:cs="Times New Roman"/>
          <w:sz w:val="24"/>
          <w:szCs w:val="24"/>
        </w:rPr>
        <w:t xml:space="preserve"> zawarł </w:t>
      </w:r>
      <w:proofErr w:type="spellStart"/>
      <w:r w:rsidRPr="001A331E">
        <w:rPr>
          <w:rFonts w:ascii="Times New Roman" w:hAnsi="Times New Roman" w:cs="Times New Roman"/>
          <w:i/>
          <w:iCs/>
          <w:sz w:val="24"/>
          <w:szCs w:val="24"/>
        </w:rPr>
        <w:t>pactum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mocy którego mógł sprzedać dom w wypadku niespłacenia długu. </w:t>
      </w:r>
      <w:r w:rsidR="00E33AC2">
        <w:rPr>
          <w:rFonts w:ascii="Times New Roman" w:hAnsi="Times New Roman" w:cs="Times New Roman"/>
          <w:sz w:val="24"/>
          <w:szCs w:val="24"/>
        </w:rPr>
        <w:t>W wyniku pożaru d</w:t>
      </w:r>
      <w:r>
        <w:rPr>
          <w:rFonts w:ascii="Times New Roman" w:hAnsi="Times New Roman" w:cs="Times New Roman"/>
          <w:sz w:val="24"/>
          <w:szCs w:val="24"/>
        </w:rPr>
        <w:t>om czynszowy spłonął a następnie dłużnik własnym kosztem go odbudował</w:t>
      </w:r>
      <w:r w:rsidR="00E33AC2">
        <w:rPr>
          <w:rFonts w:ascii="Times New Roman" w:hAnsi="Times New Roman" w:cs="Times New Roman"/>
          <w:sz w:val="24"/>
          <w:szCs w:val="24"/>
        </w:rPr>
        <w:t>. W</w:t>
      </w:r>
      <w:r w:rsidR="008F4622">
        <w:rPr>
          <w:rFonts w:ascii="Times New Roman" w:hAnsi="Times New Roman" w:cs="Times New Roman"/>
          <w:sz w:val="24"/>
          <w:szCs w:val="24"/>
        </w:rPr>
        <w:t xml:space="preserve"> związku z poniesionymi kosztami zaniechał spłacenia długu</w:t>
      </w:r>
      <w:r w:rsidR="00E33AC2">
        <w:rPr>
          <w:rFonts w:ascii="Times New Roman" w:hAnsi="Times New Roman" w:cs="Times New Roman"/>
          <w:sz w:val="24"/>
          <w:szCs w:val="24"/>
        </w:rPr>
        <w:t xml:space="preserve"> i </w:t>
      </w:r>
      <w:r w:rsidR="008F4622">
        <w:rPr>
          <w:rFonts w:ascii="Times New Roman" w:hAnsi="Times New Roman" w:cs="Times New Roman"/>
          <w:sz w:val="24"/>
          <w:szCs w:val="24"/>
        </w:rPr>
        <w:t xml:space="preserve">wierzyciel sprzedał </w:t>
      </w:r>
      <w:r w:rsidR="00E33AC2">
        <w:rPr>
          <w:rFonts w:ascii="Times New Roman" w:hAnsi="Times New Roman" w:cs="Times New Roman"/>
          <w:sz w:val="24"/>
          <w:szCs w:val="24"/>
        </w:rPr>
        <w:t xml:space="preserve">insulę. </w:t>
      </w:r>
      <w:r w:rsidR="008F4622">
        <w:rPr>
          <w:rFonts w:ascii="Times New Roman" w:hAnsi="Times New Roman" w:cs="Times New Roman"/>
          <w:sz w:val="24"/>
          <w:szCs w:val="24"/>
        </w:rPr>
        <w:t xml:space="preserve">Wydania </w:t>
      </w:r>
      <w:r w:rsidR="008F4622" w:rsidRPr="00B71A54">
        <w:rPr>
          <w:rFonts w:ascii="Times New Roman" w:hAnsi="Times New Roman" w:cs="Times New Roman"/>
          <w:sz w:val="24"/>
          <w:szCs w:val="24"/>
        </w:rPr>
        <w:t xml:space="preserve">insuli </w:t>
      </w:r>
      <w:r w:rsidR="008F4622">
        <w:rPr>
          <w:rFonts w:ascii="Times New Roman" w:hAnsi="Times New Roman" w:cs="Times New Roman"/>
          <w:sz w:val="24"/>
          <w:szCs w:val="24"/>
        </w:rPr>
        <w:t xml:space="preserve">domagał się jego nabywca. </w:t>
      </w:r>
      <w:r w:rsidR="00E33AC2">
        <w:rPr>
          <w:rFonts w:ascii="Times New Roman" w:hAnsi="Times New Roman" w:cs="Times New Roman"/>
          <w:sz w:val="24"/>
          <w:szCs w:val="24"/>
        </w:rPr>
        <w:t>Niesolidny dłużnik podnosi</w:t>
      </w:r>
      <w:r w:rsidR="004D18B2">
        <w:rPr>
          <w:rFonts w:ascii="Times New Roman" w:hAnsi="Times New Roman" w:cs="Times New Roman"/>
          <w:sz w:val="24"/>
          <w:szCs w:val="24"/>
        </w:rPr>
        <w:t>ł jednak</w:t>
      </w:r>
      <w:r w:rsidR="00E33AC2">
        <w:rPr>
          <w:rFonts w:ascii="Times New Roman" w:hAnsi="Times New Roman" w:cs="Times New Roman"/>
          <w:sz w:val="24"/>
          <w:szCs w:val="24"/>
        </w:rPr>
        <w:t>, że zastawem był obciążony poprzedni budynek a now</w:t>
      </w:r>
      <w:r w:rsidR="004D18B2">
        <w:rPr>
          <w:rFonts w:ascii="Times New Roman" w:hAnsi="Times New Roman" w:cs="Times New Roman"/>
          <w:sz w:val="24"/>
          <w:szCs w:val="24"/>
        </w:rPr>
        <w:t xml:space="preserve">o pobudowana </w:t>
      </w:r>
      <w:r w:rsidR="004D18B2" w:rsidRPr="004D18B2">
        <w:rPr>
          <w:rFonts w:ascii="Times New Roman" w:hAnsi="Times New Roman" w:cs="Times New Roman"/>
          <w:i/>
          <w:iCs/>
          <w:sz w:val="24"/>
          <w:szCs w:val="24"/>
        </w:rPr>
        <w:t>insula</w:t>
      </w:r>
      <w:r w:rsidR="00E33AC2">
        <w:rPr>
          <w:rFonts w:ascii="Times New Roman" w:hAnsi="Times New Roman" w:cs="Times New Roman"/>
          <w:sz w:val="24"/>
          <w:szCs w:val="24"/>
        </w:rPr>
        <w:t xml:space="preserve"> jest jego własnością</w:t>
      </w:r>
      <w:r w:rsidR="00B71A54">
        <w:rPr>
          <w:rFonts w:ascii="Times New Roman" w:hAnsi="Times New Roman" w:cs="Times New Roman"/>
          <w:sz w:val="24"/>
          <w:szCs w:val="24"/>
        </w:rPr>
        <w:t>. Wskazywał też, że nie jest możliwa zapłata pierwotnego długu ze względu wystąpienie zdarzenia o charakterze siły wyższej</w:t>
      </w:r>
      <w:r w:rsidR="00E33AC2">
        <w:rPr>
          <w:rFonts w:ascii="Times New Roman" w:hAnsi="Times New Roman" w:cs="Times New Roman"/>
          <w:sz w:val="24"/>
          <w:szCs w:val="24"/>
        </w:rPr>
        <w:t>.</w:t>
      </w:r>
    </w:p>
    <w:p w14:paraId="46CBDB78" w14:textId="20AADEFF" w:rsidR="004D18B2" w:rsidRDefault="004D18B2" w:rsidP="001A331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Rozsądź spór.</w:t>
      </w:r>
    </w:p>
    <w:p w14:paraId="46080332" w14:textId="77777777" w:rsidR="001A331E" w:rsidRPr="007D1E0B" w:rsidRDefault="001A331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4AB3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97E88" w14:textId="60DADA1B" w:rsidR="007D1E0B" w:rsidRPr="001A331E" w:rsidRDefault="007D1E0B" w:rsidP="007D1E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31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A331E" w:rsidRPr="001A331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331E">
        <w:rPr>
          <w:rFonts w:ascii="Times New Roman" w:hAnsi="Times New Roman" w:cs="Times New Roman"/>
          <w:b/>
          <w:bCs/>
          <w:sz w:val="24"/>
          <w:szCs w:val="24"/>
        </w:rPr>
        <w:t xml:space="preserve">. Planowany przebieg zajęć: </w:t>
      </w:r>
    </w:p>
    <w:p w14:paraId="29980884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sprawdzenie obecności </w:t>
      </w:r>
    </w:p>
    <w:p w14:paraId="488B7304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>test z pojęć łacińskich</w:t>
      </w:r>
    </w:p>
    <w:p w14:paraId="28C829BC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interpretacja tekstu źródłowego </w:t>
      </w:r>
    </w:p>
    <w:p w14:paraId="21F5DD80" w14:textId="39E54C42" w:rsid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zagadnienia problemowe – pytania i wyjaśnienia </w:t>
      </w:r>
    </w:p>
    <w:p w14:paraId="2CAB528D" w14:textId="250DAE59" w:rsidR="001A331E" w:rsidRPr="007D1E0B" w:rsidRDefault="001A331E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symulacja rozprawy</w:t>
      </w:r>
    </w:p>
    <w:p w14:paraId="703F46EC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podsumowanie zajęć </w:t>
      </w:r>
    </w:p>
    <w:p w14:paraId="4690BA41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62675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E1DFC" w14:textId="77777777" w:rsidR="007D1E0B" w:rsidRPr="007D1E0B" w:rsidRDefault="007D1E0B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9F5E0" w14:textId="77777777" w:rsidR="00E33BF1" w:rsidRPr="007D1E0B" w:rsidRDefault="00E33BF1" w:rsidP="007D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BF1" w:rsidRPr="007D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0B"/>
    <w:rsid w:val="000350AE"/>
    <w:rsid w:val="001A331E"/>
    <w:rsid w:val="003E14C9"/>
    <w:rsid w:val="004D18B2"/>
    <w:rsid w:val="00576060"/>
    <w:rsid w:val="0063063E"/>
    <w:rsid w:val="007D1E0B"/>
    <w:rsid w:val="008F4622"/>
    <w:rsid w:val="0096594A"/>
    <w:rsid w:val="00A32569"/>
    <w:rsid w:val="00B71A54"/>
    <w:rsid w:val="00CD65C9"/>
    <w:rsid w:val="00D25A8B"/>
    <w:rsid w:val="00E33AC2"/>
    <w:rsid w:val="00E33BF1"/>
    <w:rsid w:val="00E859C1"/>
    <w:rsid w:val="00EE248C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DDD1"/>
  <w15:chartTrackingRefBased/>
  <w15:docId w15:val="{E2886295-9DBF-449D-9220-CA25441C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0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jsh.icm.edu.pl/cejsh/element/bwmeta1.element.ojs-doi-10_21697_pk_1994_37_3-4_08/c/4788-433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Bartosz Szolc-Nartowski</cp:lastModifiedBy>
  <cp:revision>2</cp:revision>
  <dcterms:created xsi:type="dcterms:W3CDTF">2022-11-24T22:32:00Z</dcterms:created>
  <dcterms:modified xsi:type="dcterms:W3CDTF">2022-11-24T22:32:00Z</dcterms:modified>
</cp:coreProperties>
</file>